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CAF2AC" w14:textId="77777777" w:rsidR="00CC79A1" w:rsidRPr="00083277" w:rsidRDefault="00CC79A1" w:rsidP="00CC79A1">
      <w:pPr>
        <w:pStyle w:val="ConsTitle"/>
        <w:widowControl/>
        <w:ind w:left="340" w:right="56" w:firstLine="720"/>
        <w:jc w:val="right"/>
        <w:rPr>
          <w:rFonts w:ascii="Times New Roman" w:hAnsi="Times New Roman" w:cs="Times New Roman"/>
          <w:sz w:val="24"/>
          <w:szCs w:val="24"/>
        </w:rPr>
      </w:pPr>
      <w:r w:rsidRPr="00083277">
        <w:rPr>
          <w:rFonts w:ascii="Times New Roman" w:hAnsi="Times New Roman" w:cs="Times New Roman"/>
          <w:sz w:val="24"/>
          <w:szCs w:val="24"/>
        </w:rPr>
        <w:t>Утверждены</w:t>
      </w:r>
    </w:p>
    <w:p w14:paraId="4ECC92B7" w14:textId="77777777" w:rsidR="00CC79A1" w:rsidRPr="00083277" w:rsidRDefault="00CC79A1" w:rsidP="00CC79A1">
      <w:pPr>
        <w:pStyle w:val="ConsNonformat"/>
        <w:widowControl/>
        <w:ind w:left="7200" w:right="56" w:firstLine="720"/>
        <w:jc w:val="right"/>
        <w:rPr>
          <w:rFonts w:ascii="Times New Roman" w:hAnsi="Times New Roman" w:cs="Times New Roman"/>
          <w:sz w:val="24"/>
          <w:szCs w:val="24"/>
        </w:rPr>
      </w:pPr>
    </w:p>
    <w:p w14:paraId="19255558" w14:textId="77777777" w:rsidR="00CC79A1" w:rsidRPr="00083277" w:rsidRDefault="00CC79A1" w:rsidP="00CC79A1">
      <w:pPr>
        <w:pStyle w:val="ConsTitle"/>
        <w:widowControl/>
        <w:ind w:firstLine="426"/>
        <w:jc w:val="right"/>
        <w:rPr>
          <w:rFonts w:ascii="Times New Roman" w:hAnsi="Times New Roman" w:cs="Times New Roman"/>
          <w:b w:val="0"/>
          <w:bCs w:val="0"/>
          <w:sz w:val="22"/>
          <w:szCs w:val="22"/>
        </w:rPr>
      </w:pPr>
      <w:r w:rsidRPr="00083277">
        <w:rPr>
          <w:rFonts w:ascii="Times New Roman" w:hAnsi="Times New Roman" w:cs="Times New Roman"/>
          <w:b w:val="0"/>
          <w:bCs w:val="0"/>
          <w:sz w:val="22"/>
          <w:szCs w:val="22"/>
        </w:rPr>
        <w:t xml:space="preserve">Решением общего собрания </w:t>
      </w:r>
    </w:p>
    <w:p w14:paraId="4847C2CC" w14:textId="77777777" w:rsidR="00CC79A1" w:rsidRPr="00083277" w:rsidRDefault="00CC79A1" w:rsidP="00CC79A1">
      <w:pPr>
        <w:pStyle w:val="ConsTitle"/>
        <w:widowControl/>
        <w:ind w:firstLine="426"/>
        <w:jc w:val="right"/>
        <w:rPr>
          <w:rFonts w:ascii="Times New Roman" w:hAnsi="Times New Roman" w:cs="Times New Roman"/>
          <w:b w:val="0"/>
          <w:bCs w:val="0"/>
          <w:sz w:val="22"/>
          <w:szCs w:val="22"/>
        </w:rPr>
      </w:pPr>
      <w:r w:rsidRPr="00083277">
        <w:rPr>
          <w:rFonts w:ascii="Times New Roman" w:hAnsi="Times New Roman" w:cs="Times New Roman"/>
          <w:b w:val="0"/>
          <w:bCs w:val="0"/>
          <w:sz w:val="22"/>
          <w:szCs w:val="22"/>
        </w:rPr>
        <w:t xml:space="preserve">владельцев инвестиционных паев </w:t>
      </w:r>
    </w:p>
    <w:p w14:paraId="0408DDEF" w14:textId="77777777" w:rsidR="00CC79A1" w:rsidRPr="00083277" w:rsidRDefault="00CC79A1" w:rsidP="00CC79A1">
      <w:pPr>
        <w:pStyle w:val="ConsTitle"/>
        <w:widowControl/>
        <w:ind w:firstLine="426"/>
        <w:jc w:val="right"/>
        <w:rPr>
          <w:rFonts w:ascii="Times New Roman" w:hAnsi="Times New Roman" w:cs="Times New Roman"/>
          <w:b w:val="0"/>
          <w:bCs w:val="0"/>
          <w:sz w:val="22"/>
          <w:szCs w:val="22"/>
        </w:rPr>
      </w:pPr>
      <w:r w:rsidRPr="00083277">
        <w:rPr>
          <w:rFonts w:ascii="Times New Roman" w:hAnsi="Times New Roman" w:cs="Times New Roman"/>
          <w:b w:val="0"/>
          <w:bCs w:val="0"/>
          <w:sz w:val="22"/>
          <w:szCs w:val="22"/>
        </w:rPr>
        <w:t>З</w:t>
      </w:r>
      <w:r>
        <w:rPr>
          <w:rFonts w:ascii="Times New Roman" w:hAnsi="Times New Roman" w:cs="Times New Roman"/>
          <w:b w:val="0"/>
          <w:bCs w:val="0"/>
          <w:sz w:val="22"/>
          <w:szCs w:val="22"/>
        </w:rPr>
        <w:t>акрытого паевого инвестиционного фонда</w:t>
      </w:r>
      <w:r w:rsidRPr="00083277">
        <w:rPr>
          <w:rFonts w:ascii="Times New Roman" w:hAnsi="Times New Roman" w:cs="Times New Roman"/>
          <w:b w:val="0"/>
          <w:bCs w:val="0"/>
          <w:sz w:val="22"/>
          <w:szCs w:val="22"/>
        </w:rPr>
        <w:t xml:space="preserve"> недвижимости </w:t>
      </w:r>
    </w:p>
    <w:p w14:paraId="6336DAC9" w14:textId="77777777" w:rsidR="00CC79A1" w:rsidRPr="00083277" w:rsidRDefault="00CC79A1" w:rsidP="00CC79A1">
      <w:pPr>
        <w:pStyle w:val="ConsTitle"/>
        <w:widowControl/>
        <w:ind w:firstLine="426"/>
        <w:jc w:val="right"/>
        <w:rPr>
          <w:rFonts w:ascii="Times New Roman" w:hAnsi="Times New Roman" w:cs="Times New Roman"/>
          <w:b w:val="0"/>
          <w:bCs w:val="0"/>
          <w:sz w:val="22"/>
          <w:szCs w:val="22"/>
        </w:rPr>
      </w:pPr>
      <w:r w:rsidRPr="00083277">
        <w:rPr>
          <w:rFonts w:ascii="Times New Roman" w:hAnsi="Times New Roman" w:cs="Times New Roman"/>
          <w:b w:val="0"/>
          <w:bCs w:val="0"/>
          <w:sz w:val="22"/>
          <w:szCs w:val="22"/>
        </w:rPr>
        <w:t>«</w:t>
      </w:r>
      <w:r>
        <w:rPr>
          <w:rFonts w:ascii="Times New Roman" w:hAnsi="Times New Roman" w:cs="Times New Roman"/>
          <w:b w:val="0"/>
          <w:bCs w:val="0"/>
          <w:sz w:val="22"/>
          <w:szCs w:val="22"/>
        </w:rPr>
        <w:t>Финансы и недвижимость</w:t>
      </w:r>
      <w:r w:rsidRPr="00083277">
        <w:rPr>
          <w:rFonts w:ascii="Times New Roman" w:hAnsi="Times New Roman" w:cs="Times New Roman"/>
          <w:b w:val="0"/>
          <w:bCs w:val="0"/>
          <w:sz w:val="22"/>
          <w:szCs w:val="22"/>
        </w:rPr>
        <w:t>»</w:t>
      </w:r>
    </w:p>
    <w:p w14:paraId="4A743D5E" w14:textId="464CEEE3" w:rsidR="00CC79A1" w:rsidRPr="00083277" w:rsidRDefault="00CC79A1" w:rsidP="00265E75">
      <w:pPr>
        <w:pStyle w:val="ConsTitle"/>
        <w:widowControl/>
        <w:spacing w:line="480" w:lineRule="auto"/>
        <w:ind w:firstLine="426"/>
        <w:jc w:val="right"/>
        <w:rPr>
          <w:rFonts w:ascii="Times New Roman" w:hAnsi="Times New Roman" w:cs="Times New Roman"/>
          <w:b w:val="0"/>
          <w:bCs w:val="0"/>
          <w:sz w:val="22"/>
          <w:szCs w:val="22"/>
        </w:rPr>
      </w:pPr>
      <w:r w:rsidRPr="00755CF9">
        <w:rPr>
          <w:rFonts w:ascii="Times New Roman" w:hAnsi="Times New Roman" w:cs="Times New Roman"/>
          <w:b w:val="0"/>
          <w:bCs w:val="0"/>
          <w:sz w:val="22"/>
          <w:szCs w:val="22"/>
        </w:rPr>
        <w:t>(Протокол №</w:t>
      </w:r>
      <w:r w:rsidR="0096046E">
        <w:rPr>
          <w:rFonts w:ascii="Times New Roman" w:hAnsi="Times New Roman" w:cs="Times New Roman"/>
          <w:b w:val="0"/>
          <w:bCs w:val="0"/>
          <w:sz w:val="22"/>
          <w:szCs w:val="22"/>
        </w:rPr>
        <w:t>4</w:t>
      </w:r>
      <w:r w:rsidR="00265E75" w:rsidRPr="000D75B7">
        <w:rPr>
          <w:rFonts w:ascii="Times New Roman" w:hAnsi="Times New Roman" w:cs="Times New Roman"/>
          <w:b w:val="0"/>
          <w:bCs w:val="0"/>
          <w:sz w:val="22"/>
          <w:szCs w:val="22"/>
        </w:rPr>
        <w:t xml:space="preserve"> </w:t>
      </w:r>
      <w:r w:rsidRPr="00755CF9">
        <w:rPr>
          <w:rFonts w:ascii="Times New Roman" w:hAnsi="Times New Roman" w:cs="Times New Roman"/>
          <w:b w:val="0"/>
          <w:bCs w:val="0"/>
          <w:sz w:val="22"/>
          <w:szCs w:val="22"/>
        </w:rPr>
        <w:t>от</w:t>
      </w:r>
      <w:r w:rsidR="00265E75" w:rsidRPr="000D75B7">
        <w:rPr>
          <w:rFonts w:ascii="Times New Roman" w:hAnsi="Times New Roman" w:cs="Times New Roman"/>
          <w:b w:val="0"/>
          <w:bCs w:val="0"/>
          <w:sz w:val="22"/>
          <w:szCs w:val="22"/>
        </w:rPr>
        <w:t xml:space="preserve"> </w:t>
      </w:r>
      <w:r w:rsidR="00B46E33">
        <w:rPr>
          <w:rFonts w:ascii="Times New Roman" w:hAnsi="Times New Roman" w:cs="Times New Roman"/>
          <w:b w:val="0"/>
          <w:bCs w:val="0"/>
          <w:sz w:val="22"/>
          <w:szCs w:val="22"/>
        </w:rPr>
        <w:t>14 октября</w:t>
      </w:r>
      <w:r w:rsidRPr="00755CF9">
        <w:rPr>
          <w:rFonts w:ascii="Times New Roman" w:hAnsi="Times New Roman" w:cs="Times New Roman"/>
          <w:b w:val="0"/>
          <w:bCs w:val="0"/>
          <w:sz w:val="22"/>
          <w:szCs w:val="22"/>
        </w:rPr>
        <w:t xml:space="preserve"> 20</w:t>
      </w:r>
      <w:r>
        <w:rPr>
          <w:rFonts w:ascii="Times New Roman" w:hAnsi="Times New Roman" w:cs="Times New Roman"/>
          <w:b w:val="0"/>
          <w:bCs w:val="0"/>
          <w:sz w:val="22"/>
          <w:szCs w:val="22"/>
        </w:rPr>
        <w:t>26</w:t>
      </w:r>
      <w:r w:rsidRPr="00755CF9">
        <w:rPr>
          <w:rFonts w:ascii="Times New Roman" w:hAnsi="Times New Roman" w:cs="Times New Roman"/>
          <w:b w:val="0"/>
          <w:bCs w:val="0"/>
          <w:sz w:val="22"/>
          <w:szCs w:val="22"/>
        </w:rPr>
        <w:t xml:space="preserve"> г.)</w:t>
      </w:r>
    </w:p>
    <w:p w14:paraId="68630BA6" w14:textId="77777777" w:rsidR="00CC79A1" w:rsidRPr="00083277" w:rsidRDefault="00CC79A1" w:rsidP="00CC79A1">
      <w:pPr>
        <w:pStyle w:val="ConsTitle"/>
        <w:widowControl/>
        <w:ind w:firstLine="426"/>
        <w:jc w:val="right"/>
        <w:rPr>
          <w:rFonts w:ascii="Times New Roman" w:hAnsi="Times New Roman" w:cs="Times New Roman"/>
          <w:b w:val="0"/>
          <w:bCs w:val="0"/>
          <w:sz w:val="22"/>
          <w:szCs w:val="22"/>
        </w:rPr>
      </w:pPr>
    </w:p>
    <w:p w14:paraId="3AC2CA9A" w14:textId="77777777" w:rsidR="00CC79A1" w:rsidRPr="00083277" w:rsidRDefault="00CC79A1" w:rsidP="00CC79A1">
      <w:pPr>
        <w:pStyle w:val="ConsNonformat"/>
        <w:widowControl/>
        <w:ind w:left="7200" w:right="56" w:firstLine="720"/>
        <w:jc w:val="right"/>
        <w:rPr>
          <w:rFonts w:ascii="Times New Roman" w:hAnsi="Times New Roman" w:cs="Times New Roman"/>
          <w:sz w:val="24"/>
          <w:szCs w:val="24"/>
        </w:rPr>
      </w:pPr>
    </w:p>
    <w:p w14:paraId="5DE353FB" w14:textId="77777777" w:rsidR="00CC79A1" w:rsidRPr="00083277" w:rsidRDefault="00CC79A1" w:rsidP="00CC79A1">
      <w:pPr>
        <w:pStyle w:val="ConsNonformat"/>
        <w:widowControl/>
        <w:ind w:left="5664" w:right="56"/>
        <w:jc w:val="right"/>
        <w:rPr>
          <w:rFonts w:ascii="Times New Roman" w:hAnsi="Times New Roman" w:cs="Times New Roman"/>
          <w:sz w:val="24"/>
          <w:szCs w:val="24"/>
        </w:rPr>
      </w:pPr>
      <w:r w:rsidRPr="00083277">
        <w:rPr>
          <w:rFonts w:ascii="Times New Roman" w:hAnsi="Times New Roman" w:cs="Times New Roman"/>
          <w:sz w:val="24"/>
          <w:szCs w:val="24"/>
        </w:rPr>
        <w:t xml:space="preserve">        ________________ /Ермилов И.С./</w:t>
      </w:r>
    </w:p>
    <w:p w14:paraId="441D437C" w14:textId="240A47C8" w:rsidR="00CF2AFE" w:rsidRPr="00D76E39" w:rsidRDefault="00CF2AFE" w:rsidP="00CF2AFE">
      <w:pPr>
        <w:pStyle w:val="ConsTitle"/>
        <w:widowControl/>
        <w:ind w:firstLine="426"/>
        <w:jc w:val="right"/>
        <w:rPr>
          <w:rFonts w:ascii="Times New Roman" w:hAnsi="Times New Roman" w:cs="Times New Roman"/>
          <w:b w:val="0"/>
          <w:bCs w:val="0"/>
          <w:sz w:val="24"/>
          <w:szCs w:val="24"/>
        </w:rPr>
      </w:pPr>
    </w:p>
    <w:p w14:paraId="31B2C523" w14:textId="77777777" w:rsidR="00CF2AFE" w:rsidRPr="00D76E39" w:rsidRDefault="00CF2AFE" w:rsidP="00CF2AFE">
      <w:pPr>
        <w:ind w:right="56"/>
        <w:jc w:val="right"/>
      </w:pPr>
    </w:p>
    <w:p w14:paraId="3241A86E" w14:textId="77777777" w:rsidR="00CF2AFE" w:rsidRPr="00D76E39" w:rsidRDefault="00CF2AFE" w:rsidP="00CF2AFE">
      <w:pPr>
        <w:pStyle w:val="ConsTitle"/>
        <w:widowControl/>
        <w:ind w:left="340" w:right="-85" w:firstLine="720"/>
        <w:jc w:val="right"/>
        <w:rPr>
          <w:rFonts w:ascii="Times New Roman" w:hAnsi="Times New Roman" w:cs="Times New Roman"/>
          <w:b w:val="0"/>
          <w:bCs w:val="0"/>
          <w:color w:val="0000FF"/>
          <w:sz w:val="24"/>
          <w:szCs w:val="24"/>
        </w:rPr>
      </w:pPr>
      <w:r w:rsidRPr="00D76E39">
        <w:rPr>
          <w:rFonts w:ascii="Times New Roman" w:hAnsi="Times New Roman" w:cs="Times New Roman"/>
          <w:b w:val="0"/>
          <w:bCs w:val="0"/>
          <w:color w:val="0000FF"/>
          <w:sz w:val="24"/>
          <w:szCs w:val="24"/>
        </w:rPr>
        <w:t xml:space="preserve">                                                                        </w:t>
      </w:r>
    </w:p>
    <w:p w14:paraId="1BE76033" w14:textId="77777777" w:rsidR="00CF2AFE" w:rsidRPr="00D76E39" w:rsidRDefault="00CF2AFE" w:rsidP="00CF2AFE">
      <w:pPr>
        <w:pStyle w:val="ConsTitle"/>
        <w:widowControl/>
        <w:ind w:left="340" w:right="340" w:firstLine="720"/>
        <w:jc w:val="center"/>
        <w:rPr>
          <w:rFonts w:ascii="Times New Roman" w:hAnsi="Times New Roman" w:cs="Times New Roman"/>
          <w:color w:val="0000FF"/>
          <w:sz w:val="24"/>
          <w:szCs w:val="24"/>
        </w:rPr>
      </w:pPr>
    </w:p>
    <w:p w14:paraId="16624F02" w14:textId="77777777" w:rsidR="00CF2AFE" w:rsidRPr="00D76E39" w:rsidRDefault="00CF2AFE" w:rsidP="00CF2AFE">
      <w:pPr>
        <w:pStyle w:val="ConsTitle"/>
        <w:widowControl/>
        <w:ind w:left="340" w:right="340" w:firstLine="720"/>
        <w:jc w:val="center"/>
        <w:rPr>
          <w:rFonts w:ascii="Times New Roman" w:hAnsi="Times New Roman" w:cs="Times New Roman"/>
          <w:sz w:val="24"/>
          <w:szCs w:val="24"/>
        </w:rPr>
      </w:pPr>
    </w:p>
    <w:p w14:paraId="547DC855" w14:textId="77777777" w:rsidR="00CF2AFE" w:rsidRPr="00D76E39" w:rsidRDefault="00CF2AFE" w:rsidP="00CF2AFE">
      <w:pPr>
        <w:pStyle w:val="ConsTitle"/>
        <w:widowControl/>
        <w:ind w:left="340" w:right="340" w:firstLine="720"/>
        <w:jc w:val="center"/>
        <w:rPr>
          <w:rFonts w:ascii="Times New Roman" w:hAnsi="Times New Roman" w:cs="Times New Roman"/>
          <w:sz w:val="24"/>
          <w:szCs w:val="24"/>
        </w:rPr>
      </w:pPr>
    </w:p>
    <w:p w14:paraId="7BBEFF3B" w14:textId="77777777" w:rsidR="003F4824" w:rsidRPr="00083277" w:rsidRDefault="003F4824" w:rsidP="003F4824">
      <w:pPr>
        <w:pStyle w:val="ConsTitle"/>
        <w:widowControl/>
        <w:spacing w:line="360" w:lineRule="auto"/>
        <w:ind w:left="340" w:right="340" w:firstLine="720"/>
        <w:jc w:val="center"/>
        <w:rPr>
          <w:rFonts w:ascii="Times New Roman" w:hAnsi="Times New Roman" w:cs="Times New Roman"/>
          <w:sz w:val="24"/>
          <w:szCs w:val="24"/>
        </w:rPr>
      </w:pPr>
      <w:r w:rsidRPr="00083277">
        <w:rPr>
          <w:rFonts w:ascii="Times New Roman" w:hAnsi="Times New Roman" w:cs="Times New Roman"/>
          <w:sz w:val="24"/>
          <w:szCs w:val="24"/>
        </w:rPr>
        <w:t>ИЗМЕНЕНИЯ И ДОПОЛНЕНИЯ №</w:t>
      </w:r>
      <w:r>
        <w:rPr>
          <w:rFonts w:ascii="Times New Roman" w:hAnsi="Times New Roman" w:cs="Times New Roman"/>
          <w:sz w:val="24"/>
          <w:szCs w:val="24"/>
        </w:rPr>
        <w:t>10</w:t>
      </w:r>
    </w:p>
    <w:p w14:paraId="69527371" w14:textId="77777777" w:rsidR="003F4824" w:rsidRPr="00083277" w:rsidRDefault="003F4824" w:rsidP="003F4824">
      <w:pPr>
        <w:pStyle w:val="ConsTitle"/>
        <w:widowControl/>
        <w:spacing w:line="360" w:lineRule="auto"/>
        <w:ind w:left="340" w:right="340" w:firstLine="720"/>
        <w:jc w:val="center"/>
        <w:rPr>
          <w:rFonts w:ascii="Times New Roman" w:hAnsi="Times New Roman" w:cs="Times New Roman"/>
          <w:sz w:val="24"/>
          <w:szCs w:val="24"/>
        </w:rPr>
      </w:pPr>
      <w:r w:rsidRPr="00083277">
        <w:rPr>
          <w:rFonts w:ascii="Times New Roman" w:hAnsi="Times New Roman" w:cs="Times New Roman"/>
          <w:sz w:val="24"/>
          <w:szCs w:val="24"/>
        </w:rPr>
        <w:t xml:space="preserve"> в ПРАВИЛА ДОВЕРИТЕЛЬНОГО УПРАВЛЕНИЯ</w:t>
      </w:r>
    </w:p>
    <w:p w14:paraId="1B239D61" w14:textId="77777777" w:rsidR="003F4824" w:rsidRPr="00083277" w:rsidRDefault="003F4824" w:rsidP="003F4824">
      <w:pPr>
        <w:pStyle w:val="ConsTitle"/>
        <w:widowControl/>
        <w:spacing w:line="360" w:lineRule="auto"/>
        <w:ind w:left="340" w:right="340" w:firstLine="720"/>
        <w:jc w:val="center"/>
        <w:rPr>
          <w:rFonts w:ascii="Times New Roman" w:hAnsi="Times New Roman" w:cs="Times New Roman"/>
          <w:sz w:val="24"/>
          <w:szCs w:val="24"/>
        </w:rPr>
      </w:pPr>
      <w:r w:rsidRPr="00083277">
        <w:rPr>
          <w:rFonts w:ascii="Times New Roman" w:hAnsi="Times New Roman" w:cs="Times New Roman"/>
          <w:sz w:val="24"/>
          <w:szCs w:val="24"/>
        </w:rPr>
        <w:t xml:space="preserve">Закрытым паевым инвестиционным фондом недвижимости </w:t>
      </w:r>
    </w:p>
    <w:p w14:paraId="40595839" w14:textId="77777777" w:rsidR="003F4824" w:rsidRPr="00083277" w:rsidRDefault="003F4824" w:rsidP="003F4824">
      <w:pPr>
        <w:pStyle w:val="ConsTitle"/>
        <w:widowControl/>
        <w:spacing w:line="360" w:lineRule="auto"/>
        <w:ind w:left="340" w:right="340" w:firstLine="720"/>
        <w:jc w:val="center"/>
        <w:rPr>
          <w:rFonts w:ascii="Times New Roman" w:hAnsi="Times New Roman" w:cs="Times New Roman"/>
          <w:sz w:val="24"/>
          <w:szCs w:val="24"/>
        </w:rPr>
      </w:pPr>
      <w:r w:rsidRPr="00083277">
        <w:rPr>
          <w:rFonts w:ascii="Times New Roman" w:hAnsi="Times New Roman" w:cs="Times New Roman"/>
          <w:sz w:val="24"/>
          <w:szCs w:val="24"/>
        </w:rPr>
        <w:t>«</w:t>
      </w:r>
      <w:r>
        <w:rPr>
          <w:rFonts w:ascii="Times New Roman" w:hAnsi="Times New Roman" w:cs="Times New Roman"/>
          <w:sz w:val="24"/>
          <w:szCs w:val="24"/>
        </w:rPr>
        <w:t>Финансы и Недвижимость</w:t>
      </w:r>
      <w:r w:rsidRPr="00083277">
        <w:rPr>
          <w:rFonts w:ascii="Times New Roman" w:hAnsi="Times New Roman" w:cs="Times New Roman"/>
          <w:sz w:val="24"/>
          <w:szCs w:val="24"/>
        </w:rPr>
        <w:t xml:space="preserve">» </w:t>
      </w:r>
    </w:p>
    <w:p w14:paraId="3E9A4F36" w14:textId="77777777" w:rsidR="003F4824" w:rsidRPr="00083277" w:rsidRDefault="003F4824" w:rsidP="003F4824">
      <w:pPr>
        <w:pStyle w:val="ConsTitle"/>
        <w:widowControl/>
        <w:ind w:left="340" w:right="340" w:firstLine="720"/>
        <w:jc w:val="center"/>
        <w:rPr>
          <w:rFonts w:ascii="Times New Roman" w:hAnsi="Times New Roman" w:cs="Times New Roman"/>
          <w:sz w:val="24"/>
          <w:szCs w:val="24"/>
        </w:rPr>
      </w:pPr>
    </w:p>
    <w:p w14:paraId="40DD8F8D" w14:textId="77777777" w:rsidR="003F4824" w:rsidRPr="00083277" w:rsidRDefault="003F4824" w:rsidP="003F4824"/>
    <w:p w14:paraId="0ED8F243" w14:textId="77777777" w:rsidR="003F4824" w:rsidRPr="00083277" w:rsidRDefault="003F4824" w:rsidP="003F4824"/>
    <w:p w14:paraId="33D2A63E" w14:textId="77777777" w:rsidR="003F4824" w:rsidRPr="00083277" w:rsidRDefault="003F4824" w:rsidP="003F4824"/>
    <w:p w14:paraId="33407151" w14:textId="77777777" w:rsidR="003F4824" w:rsidRPr="00083277" w:rsidRDefault="003F4824" w:rsidP="003F4824"/>
    <w:p w14:paraId="4A47ED44" w14:textId="77777777" w:rsidR="003F4824" w:rsidRPr="00083277" w:rsidRDefault="003F4824" w:rsidP="003F4824"/>
    <w:p w14:paraId="4466366D" w14:textId="77777777" w:rsidR="003F4824" w:rsidRPr="00083277" w:rsidRDefault="003F4824" w:rsidP="003F4824"/>
    <w:p w14:paraId="2042BC94" w14:textId="77777777" w:rsidR="003F4824" w:rsidRPr="00083277" w:rsidRDefault="003F4824" w:rsidP="003F4824"/>
    <w:p w14:paraId="3B495075" w14:textId="77777777" w:rsidR="003F4824" w:rsidRPr="00083277" w:rsidRDefault="003F4824" w:rsidP="003F4824"/>
    <w:p w14:paraId="06A0786A" w14:textId="77777777" w:rsidR="003F4824" w:rsidRPr="00083277" w:rsidRDefault="003F4824" w:rsidP="003F4824"/>
    <w:p w14:paraId="5538412A" w14:textId="77777777" w:rsidR="003F4824" w:rsidRPr="00083277" w:rsidRDefault="003F4824" w:rsidP="003F4824"/>
    <w:p w14:paraId="6A28CD1C" w14:textId="77777777" w:rsidR="003F4824" w:rsidRPr="00083277" w:rsidRDefault="003F4824" w:rsidP="003F4824">
      <w:pPr>
        <w:jc w:val="center"/>
        <w:rPr>
          <w:b/>
          <w:bCs/>
        </w:rPr>
      </w:pPr>
      <w:r w:rsidRPr="00083277">
        <w:rPr>
          <w:b/>
          <w:bCs/>
        </w:rPr>
        <w:t>г. Москва</w:t>
      </w:r>
    </w:p>
    <w:p w14:paraId="3A5197BE" w14:textId="77777777" w:rsidR="003F4824" w:rsidRPr="00083277" w:rsidRDefault="003F4824" w:rsidP="003F4824">
      <w:pPr>
        <w:jc w:val="center"/>
        <w:rPr>
          <w:b/>
          <w:bCs/>
        </w:rPr>
      </w:pPr>
    </w:p>
    <w:p w14:paraId="6737356E" w14:textId="77777777" w:rsidR="003F4824" w:rsidRPr="00083277" w:rsidRDefault="003F4824" w:rsidP="003F4824">
      <w:pPr>
        <w:jc w:val="center"/>
        <w:rPr>
          <w:b/>
          <w:bCs/>
        </w:rPr>
      </w:pPr>
      <w:r w:rsidRPr="00083277">
        <w:rPr>
          <w:b/>
          <w:bCs/>
        </w:rPr>
        <w:t>20</w:t>
      </w:r>
      <w:r>
        <w:rPr>
          <w:b/>
          <w:bCs/>
        </w:rPr>
        <w:t>26</w:t>
      </w:r>
      <w:r w:rsidRPr="00083277">
        <w:rPr>
          <w:b/>
          <w:bCs/>
        </w:rPr>
        <w:t xml:space="preserve"> год</w:t>
      </w:r>
    </w:p>
    <w:p w14:paraId="4C099BE5" w14:textId="77777777" w:rsidR="003F4824" w:rsidRDefault="003F4824" w:rsidP="003F4824">
      <w:pPr>
        <w:jc w:val="center"/>
        <w:rPr>
          <w:b/>
          <w:bCs/>
        </w:rPr>
      </w:pPr>
    </w:p>
    <w:p w14:paraId="27AE7F5A" w14:textId="77777777" w:rsidR="003F4824" w:rsidRDefault="003F4824" w:rsidP="003F4824">
      <w:pPr>
        <w:jc w:val="center"/>
        <w:rPr>
          <w:b/>
          <w:bCs/>
        </w:rPr>
      </w:pPr>
    </w:p>
    <w:p w14:paraId="6C586D65" w14:textId="77777777" w:rsidR="003F4824" w:rsidRPr="00083277" w:rsidRDefault="003F4824" w:rsidP="003F4824">
      <w:pPr>
        <w:jc w:val="center"/>
        <w:rPr>
          <w:b/>
          <w:bCs/>
        </w:rPr>
      </w:pPr>
    </w:p>
    <w:tbl>
      <w:tblPr>
        <w:tblStyle w:val="a3"/>
        <w:tblW w:w="15120" w:type="dxa"/>
        <w:tblInd w:w="648" w:type="dxa"/>
        <w:tblLayout w:type="fixed"/>
        <w:tblLook w:val="01E0" w:firstRow="1" w:lastRow="1" w:firstColumn="1" w:lastColumn="1" w:noHBand="0" w:noVBand="0"/>
      </w:tblPr>
      <w:tblGrid>
        <w:gridCol w:w="720"/>
        <w:gridCol w:w="1980"/>
        <w:gridCol w:w="5400"/>
        <w:gridCol w:w="1620"/>
        <w:gridCol w:w="5400"/>
      </w:tblGrid>
      <w:tr w:rsidR="003F4824" w:rsidRPr="00083277" w14:paraId="4047FF1A" w14:textId="77777777" w:rsidTr="00216FE1">
        <w:tc>
          <w:tcPr>
            <w:tcW w:w="720" w:type="dxa"/>
          </w:tcPr>
          <w:p w14:paraId="1769A365" w14:textId="77777777" w:rsidR="003F4824" w:rsidRPr="00083277" w:rsidRDefault="003F4824" w:rsidP="00216FE1">
            <w:pPr>
              <w:ind w:right="-108"/>
              <w:rPr>
                <w:b/>
                <w:bCs/>
              </w:rPr>
            </w:pPr>
          </w:p>
          <w:p w14:paraId="4AAE1C27" w14:textId="77777777" w:rsidR="003F4824" w:rsidRPr="00083277" w:rsidRDefault="003F4824" w:rsidP="00216FE1">
            <w:pPr>
              <w:ind w:right="-108"/>
              <w:rPr>
                <w:sz w:val="22"/>
                <w:szCs w:val="22"/>
              </w:rPr>
            </w:pPr>
            <w:r w:rsidRPr="00083277">
              <w:rPr>
                <w:b/>
                <w:bCs/>
              </w:rPr>
              <w:br w:type="page"/>
            </w:r>
            <w:r w:rsidRPr="00083277">
              <w:br w:type="page"/>
            </w:r>
            <w:r w:rsidRPr="00083277">
              <w:rPr>
                <w:sz w:val="22"/>
                <w:szCs w:val="22"/>
              </w:rPr>
              <w:t>№ п/п</w:t>
            </w:r>
          </w:p>
        </w:tc>
        <w:tc>
          <w:tcPr>
            <w:tcW w:w="1980" w:type="dxa"/>
          </w:tcPr>
          <w:p w14:paraId="147AE26E" w14:textId="77777777" w:rsidR="003F4824" w:rsidRPr="00083277" w:rsidRDefault="003F4824" w:rsidP="00216FE1">
            <w:pPr>
              <w:jc w:val="center"/>
              <w:rPr>
                <w:sz w:val="22"/>
                <w:szCs w:val="22"/>
              </w:rPr>
            </w:pPr>
            <w:r w:rsidRPr="00083277">
              <w:rPr>
                <w:sz w:val="22"/>
                <w:szCs w:val="22"/>
              </w:rPr>
              <w:t>Наименование раздела</w:t>
            </w:r>
          </w:p>
        </w:tc>
        <w:tc>
          <w:tcPr>
            <w:tcW w:w="5400" w:type="dxa"/>
          </w:tcPr>
          <w:p w14:paraId="494D5CC5" w14:textId="77777777" w:rsidR="003F4824" w:rsidRPr="00083277" w:rsidRDefault="003F4824" w:rsidP="00216FE1">
            <w:pPr>
              <w:jc w:val="center"/>
              <w:rPr>
                <w:sz w:val="22"/>
                <w:szCs w:val="22"/>
              </w:rPr>
            </w:pPr>
            <w:r w:rsidRPr="00083277">
              <w:rPr>
                <w:sz w:val="22"/>
                <w:szCs w:val="22"/>
              </w:rPr>
              <w:t>Старая редакция</w:t>
            </w:r>
          </w:p>
        </w:tc>
        <w:tc>
          <w:tcPr>
            <w:tcW w:w="1620" w:type="dxa"/>
          </w:tcPr>
          <w:p w14:paraId="37ECBDFE" w14:textId="77777777" w:rsidR="003F4824" w:rsidRPr="00083277" w:rsidRDefault="003F4824" w:rsidP="00216FE1">
            <w:pPr>
              <w:jc w:val="center"/>
              <w:rPr>
                <w:sz w:val="22"/>
                <w:szCs w:val="22"/>
              </w:rPr>
            </w:pPr>
            <w:r w:rsidRPr="00083277">
              <w:rPr>
                <w:sz w:val="22"/>
                <w:szCs w:val="22"/>
              </w:rPr>
              <w:t>Содержание поправки</w:t>
            </w:r>
          </w:p>
        </w:tc>
        <w:tc>
          <w:tcPr>
            <w:tcW w:w="5400" w:type="dxa"/>
          </w:tcPr>
          <w:p w14:paraId="10419D9B" w14:textId="77777777" w:rsidR="003F4824" w:rsidRPr="00083277" w:rsidRDefault="003F4824" w:rsidP="00216FE1">
            <w:pPr>
              <w:jc w:val="center"/>
              <w:rPr>
                <w:sz w:val="22"/>
                <w:szCs w:val="22"/>
              </w:rPr>
            </w:pPr>
            <w:r w:rsidRPr="00083277">
              <w:rPr>
                <w:sz w:val="22"/>
                <w:szCs w:val="22"/>
              </w:rPr>
              <w:t>Новая редакция</w:t>
            </w:r>
          </w:p>
        </w:tc>
      </w:tr>
      <w:tr w:rsidR="003F4824" w:rsidRPr="00083277" w14:paraId="1223DC09" w14:textId="77777777" w:rsidTr="00216FE1">
        <w:tc>
          <w:tcPr>
            <w:tcW w:w="720" w:type="dxa"/>
            <w:tcBorders>
              <w:right w:val="nil"/>
            </w:tcBorders>
          </w:tcPr>
          <w:p w14:paraId="25126057" w14:textId="77777777" w:rsidR="003F4824" w:rsidRPr="00083277" w:rsidRDefault="003F4824" w:rsidP="00216FE1">
            <w:pPr>
              <w:rPr>
                <w:sz w:val="22"/>
                <w:szCs w:val="22"/>
              </w:rPr>
            </w:pPr>
          </w:p>
        </w:tc>
        <w:tc>
          <w:tcPr>
            <w:tcW w:w="14400" w:type="dxa"/>
            <w:gridSpan w:val="4"/>
            <w:tcBorders>
              <w:left w:val="nil"/>
            </w:tcBorders>
          </w:tcPr>
          <w:p w14:paraId="4D069F8E" w14:textId="77777777" w:rsidR="003F4824" w:rsidRPr="00083277" w:rsidRDefault="003F4824" w:rsidP="00216FE1">
            <w:pPr>
              <w:jc w:val="center"/>
              <w:rPr>
                <w:b/>
                <w:bCs/>
                <w:sz w:val="22"/>
                <w:szCs w:val="22"/>
              </w:rPr>
            </w:pPr>
            <w:r w:rsidRPr="00083277">
              <w:rPr>
                <w:b/>
                <w:bCs/>
                <w:sz w:val="22"/>
                <w:szCs w:val="22"/>
              </w:rPr>
              <w:t>ПРАВИЛА ДОВЕРИТЕЛЬНОГО УПРАВЛЕНИЯ ЗАКРЫТОГО ПАЕВОГО ИНВЕСТИЦИОННОГО ФОНДА НЕДВИЖИМОСТИ «</w:t>
            </w:r>
            <w:r>
              <w:rPr>
                <w:b/>
                <w:bCs/>
                <w:sz w:val="22"/>
                <w:szCs w:val="22"/>
              </w:rPr>
              <w:t>ФИНАНСЫ И НЕДВИЖИМОСТЬ</w:t>
            </w:r>
            <w:r w:rsidRPr="00083277">
              <w:rPr>
                <w:b/>
                <w:bCs/>
                <w:sz w:val="22"/>
                <w:szCs w:val="22"/>
              </w:rPr>
              <w:t>»</w:t>
            </w:r>
          </w:p>
        </w:tc>
      </w:tr>
      <w:tr w:rsidR="003F4824" w:rsidRPr="00D524FF" w14:paraId="05BF1830" w14:textId="77777777" w:rsidTr="00216FE1">
        <w:trPr>
          <w:trHeight w:val="5345"/>
        </w:trPr>
        <w:tc>
          <w:tcPr>
            <w:tcW w:w="720" w:type="dxa"/>
          </w:tcPr>
          <w:p w14:paraId="04BD09C2" w14:textId="77777777" w:rsidR="003F4824" w:rsidRPr="00083277" w:rsidRDefault="003F4824" w:rsidP="00216FE1">
            <w:pPr>
              <w:jc w:val="center"/>
              <w:rPr>
                <w:sz w:val="22"/>
                <w:szCs w:val="22"/>
              </w:rPr>
            </w:pPr>
          </w:p>
        </w:tc>
        <w:tc>
          <w:tcPr>
            <w:tcW w:w="1980" w:type="dxa"/>
          </w:tcPr>
          <w:p w14:paraId="632C0BB3" w14:textId="77777777" w:rsidR="003F4824" w:rsidRPr="00083277" w:rsidRDefault="003F4824" w:rsidP="00216FE1">
            <w:pPr>
              <w:rPr>
                <w:b/>
                <w:bCs/>
                <w:sz w:val="22"/>
                <w:szCs w:val="22"/>
              </w:rPr>
            </w:pPr>
            <w:r w:rsidRPr="00083277">
              <w:rPr>
                <w:b/>
                <w:bCs/>
                <w:sz w:val="22"/>
                <w:szCs w:val="22"/>
              </w:rPr>
              <w:t>I</w:t>
            </w:r>
            <w:r>
              <w:rPr>
                <w:b/>
                <w:bCs/>
                <w:sz w:val="22"/>
                <w:szCs w:val="22"/>
                <w:lang w:val="en-US"/>
              </w:rPr>
              <w:t>I</w:t>
            </w:r>
            <w:r w:rsidRPr="00083277">
              <w:rPr>
                <w:b/>
                <w:bCs/>
                <w:sz w:val="22"/>
                <w:szCs w:val="22"/>
              </w:rPr>
              <w:t xml:space="preserve">. </w:t>
            </w:r>
            <w:r>
              <w:rPr>
                <w:b/>
                <w:bCs/>
                <w:sz w:val="22"/>
                <w:szCs w:val="22"/>
              </w:rPr>
              <w:t>Инвестиционная декларация</w:t>
            </w:r>
          </w:p>
          <w:p w14:paraId="2BC9C305" w14:textId="77777777" w:rsidR="003F4824" w:rsidRPr="00083277" w:rsidRDefault="003F4824" w:rsidP="00216FE1">
            <w:pPr>
              <w:rPr>
                <w:b/>
                <w:bCs/>
                <w:sz w:val="22"/>
                <w:szCs w:val="22"/>
              </w:rPr>
            </w:pPr>
          </w:p>
        </w:tc>
        <w:tc>
          <w:tcPr>
            <w:tcW w:w="5400" w:type="dxa"/>
          </w:tcPr>
          <w:p w14:paraId="764B6D5B" w14:textId="77777777" w:rsidR="003F4824" w:rsidRPr="0048738B" w:rsidRDefault="003F4824" w:rsidP="00216FE1">
            <w:pPr>
              <w:autoSpaceDE w:val="0"/>
              <w:autoSpaceDN w:val="0"/>
              <w:adjustRightInd w:val="0"/>
              <w:ind w:firstLine="540"/>
              <w:jc w:val="both"/>
              <w:rPr>
                <w:sz w:val="20"/>
                <w:szCs w:val="20"/>
              </w:rPr>
            </w:pPr>
            <w:bookmarkStart w:id="0" w:name="p_38"/>
            <w:bookmarkEnd w:id="0"/>
            <w:r w:rsidRPr="0048738B">
              <w:rPr>
                <w:sz w:val="20"/>
                <w:szCs w:val="20"/>
              </w:rPr>
              <w:t>22. Целью инвестиционной политики Управляющей компании является получение дохода при инвестировании имущества, составляющего Фонд, в объекты, предусмотренные настоящими Правилами, в соответствии с инвестиционной политикой Управляющей компании.</w:t>
            </w:r>
          </w:p>
          <w:p w14:paraId="46AF3465"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23. Инвестиционной политикой Управляющей компании является приобретение объектов недвижимого имущества с целью их последующей продажи и (или) с целью сдачи их в аренду или субаренду.</w:t>
            </w:r>
          </w:p>
          <w:p w14:paraId="4A79D5BE"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24. Объекты инвестирования, их состав и описание.</w:t>
            </w:r>
          </w:p>
          <w:p w14:paraId="3F09A5B4"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24.1. Имущество, составляющее Фонд, может быть инвестировать в:</w:t>
            </w:r>
          </w:p>
          <w:p w14:paraId="7026AF66"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 денежные средства, в том числе иностранную валюту, на счетах и во вкладах в кредитных организациях;</w:t>
            </w:r>
          </w:p>
          <w:p w14:paraId="1723C110"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 недвижимое имущество и право аренды недвижимого имущества;</w:t>
            </w:r>
          </w:p>
          <w:p w14:paraId="51B23098"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 xml:space="preserve">3) имущественные права из договоров участия в долевом строительстве объектов недвижимого имущества, заключенных в соответствии с Федеральным законом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3BFF106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4) долговые инструменты;</w:t>
            </w:r>
          </w:p>
          <w:p w14:paraId="43245F49"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5) инвестиционные паи закрытых паевых инвестиционных фондов и обыкновенные акции акционерных инвестиционных фондов, относящихся к категории фондов недвижимости или рентных фондов;</w:t>
            </w:r>
          </w:p>
          <w:p w14:paraId="65684BA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6) паи (акции) иностранных инвестиционных фондов, если присвоенный указанным паям (акциям) код CFI имеет следующие значения: первая буква - значение "E", вторая буква - значение "U", третья буква - значение “</w:t>
            </w:r>
            <w:r w:rsidRPr="0048738B">
              <w:rPr>
                <w:sz w:val="20"/>
                <w:szCs w:val="20"/>
                <w:lang w:val="en-US"/>
              </w:rPr>
              <w:t>C</w:t>
            </w:r>
            <w:r w:rsidRPr="0048738B">
              <w:rPr>
                <w:sz w:val="20"/>
                <w:szCs w:val="20"/>
              </w:rPr>
              <w:t>”, “</w:t>
            </w:r>
            <w:r w:rsidRPr="0048738B">
              <w:rPr>
                <w:sz w:val="20"/>
                <w:szCs w:val="20"/>
                <w:lang w:val="en-US"/>
              </w:rPr>
              <w:t>O</w:t>
            </w:r>
            <w:r w:rsidRPr="0048738B">
              <w:rPr>
                <w:sz w:val="20"/>
                <w:szCs w:val="20"/>
              </w:rPr>
              <w:t>”, пятая буква - значение "R".</w:t>
            </w:r>
          </w:p>
          <w:p w14:paraId="6D2A771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lastRenderedPageBreak/>
              <w:t>24.2. В целях настоящих Правил под недвижимым имуществом понимаются находящиеся на территории Российской Федерации земельные участки, иные объекты недвижимого имущества, которые прочно связаны с землей так, что их перемещение без несоразмерного ущерба их назначению невозможно, в том числе:</w:t>
            </w:r>
          </w:p>
          <w:p w14:paraId="1126B2A0" w14:textId="77777777" w:rsidR="003F4824" w:rsidRPr="0048738B" w:rsidRDefault="003F4824" w:rsidP="003F4824">
            <w:pPr>
              <w:numPr>
                <w:ilvl w:val="0"/>
                <w:numId w:val="2"/>
              </w:numPr>
              <w:autoSpaceDE w:val="0"/>
              <w:autoSpaceDN w:val="0"/>
              <w:adjustRightInd w:val="0"/>
              <w:ind w:left="0" w:firstLine="540"/>
              <w:jc w:val="both"/>
              <w:rPr>
                <w:sz w:val="20"/>
                <w:szCs w:val="20"/>
              </w:rPr>
            </w:pPr>
            <w:r w:rsidRPr="0048738B">
              <w:rPr>
                <w:sz w:val="20"/>
                <w:szCs w:val="20"/>
              </w:rPr>
              <w:t>земельные участки (земли населенных пунктов; земли промышленности, энергетики, транспорта, связи, радиовещания, телевидения, информатики, а также земли сельскохозяйственного назначения, разрешенный вид использования которых допускает осуществления на них строительства);</w:t>
            </w:r>
          </w:p>
          <w:p w14:paraId="149F69E3" w14:textId="77777777" w:rsidR="003F4824" w:rsidRPr="0048738B" w:rsidRDefault="003F4824" w:rsidP="003F4824">
            <w:pPr>
              <w:numPr>
                <w:ilvl w:val="0"/>
                <w:numId w:val="2"/>
              </w:numPr>
              <w:autoSpaceDE w:val="0"/>
              <w:autoSpaceDN w:val="0"/>
              <w:adjustRightInd w:val="0"/>
              <w:ind w:left="0" w:firstLine="540"/>
              <w:jc w:val="both"/>
              <w:rPr>
                <w:sz w:val="20"/>
                <w:szCs w:val="20"/>
              </w:rPr>
            </w:pPr>
            <w:r w:rsidRPr="0048738B">
              <w:rPr>
                <w:sz w:val="20"/>
                <w:szCs w:val="20"/>
              </w:rPr>
              <w:t xml:space="preserve">дороги, сети инженерно-технического обеспечения; </w:t>
            </w:r>
          </w:p>
          <w:p w14:paraId="42ADE110" w14:textId="77777777" w:rsidR="003F4824" w:rsidRPr="0048738B" w:rsidRDefault="003F4824" w:rsidP="003F4824">
            <w:pPr>
              <w:numPr>
                <w:ilvl w:val="0"/>
                <w:numId w:val="2"/>
              </w:numPr>
              <w:autoSpaceDE w:val="0"/>
              <w:autoSpaceDN w:val="0"/>
              <w:adjustRightInd w:val="0"/>
              <w:ind w:left="0" w:firstLine="540"/>
              <w:jc w:val="both"/>
              <w:rPr>
                <w:sz w:val="20"/>
                <w:szCs w:val="20"/>
              </w:rPr>
            </w:pPr>
            <w:r w:rsidRPr="0048738B">
              <w:rPr>
                <w:sz w:val="20"/>
                <w:szCs w:val="20"/>
              </w:rPr>
              <w:t>объекты незавершенного строительства, здания, сооружения, строения, помещения, в том числе жилые и нежилые, многоквартирные дома, коттеджи, объекты общественного питания, культуры, здравоохранения, гаражные, выставочные, складские комплексы, объекты недвижимого имущества административного, торгового, развлекательного, спортивного, гостиничного, оздоровительного назначения.</w:t>
            </w:r>
          </w:p>
          <w:p w14:paraId="239FF41D"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В состав Фонда не может входить недвижимое имущество, изъятое из оборота или ограниченное в обороте в соответствии с законодательством Российской Федерации.</w:t>
            </w:r>
          </w:p>
          <w:p w14:paraId="4A64B315"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За исключением аренды земельных участков, срок аренды иных объектов недвижимого имущества не может превышать срок действия договора доверительного управления Фондом, указанный в пункте 21 Правил Фонда.</w:t>
            </w:r>
          </w:p>
          <w:p w14:paraId="14370F76"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В целях настоящих Правил под долговыми инструментами понимаются:</w:t>
            </w:r>
          </w:p>
          <w:p w14:paraId="1F58EBC0" w14:textId="77777777" w:rsidR="003F4824" w:rsidRPr="0048738B" w:rsidRDefault="003F4824" w:rsidP="00216FE1">
            <w:pPr>
              <w:autoSpaceDE w:val="0"/>
              <w:autoSpaceDN w:val="0"/>
              <w:adjustRightInd w:val="0"/>
              <w:ind w:firstLine="540"/>
              <w:jc w:val="both"/>
              <w:rPr>
                <w:sz w:val="20"/>
                <w:szCs w:val="20"/>
              </w:rPr>
            </w:pPr>
            <w:bookmarkStart w:id="1" w:name="sub_11141"/>
            <w:r w:rsidRPr="0048738B">
              <w:rPr>
                <w:sz w:val="20"/>
                <w:szCs w:val="20"/>
              </w:rPr>
              <w:t>а) облигации российских хозяйственных обществ, если условия их выпуска предусматривают право на получение от эмитента только денежных средств или эмиссионных ценных бумаг и государственная регистрация выпуска которых сопровождалась регистрацией проспекта ценных бумаг или в отношении которых зарегистрирован проспект ценных бумаг (проспект эмиссии ценных бумаг, план приватизации, зарегистрированный в качестве проспекта эмиссии ценных бумаг);</w:t>
            </w:r>
            <w:bookmarkStart w:id="2" w:name="sub_11142"/>
            <w:bookmarkEnd w:id="1"/>
          </w:p>
          <w:p w14:paraId="3158DBF9"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б) биржевые облигации российских хозяйственных обществ;</w:t>
            </w:r>
            <w:bookmarkStart w:id="3" w:name="sub_11143"/>
            <w:bookmarkEnd w:id="2"/>
          </w:p>
          <w:p w14:paraId="38FBB447" w14:textId="77777777" w:rsidR="003F4824" w:rsidRPr="0048738B" w:rsidRDefault="003F4824" w:rsidP="00216FE1">
            <w:pPr>
              <w:autoSpaceDE w:val="0"/>
              <w:autoSpaceDN w:val="0"/>
              <w:adjustRightInd w:val="0"/>
              <w:ind w:firstLine="540"/>
              <w:jc w:val="both"/>
              <w:rPr>
                <w:sz w:val="20"/>
                <w:szCs w:val="20"/>
              </w:rPr>
            </w:pPr>
            <w:r w:rsidRPr="0048738B">
              <w:rPr>
                <w:sz w:val="20"/>
                <w:szCs w:val="20"/>
              </w:rPr>
              <w:lastRenderedPageBreak/>
              <w:t>в)</w:t>
            </w:r>
            <w:r w:rsidRPr="0048738B">
              <w:rPr>
                <w:sz w:val="20"/>
                <w:szCs w:val="20"/>
              </w:rPr>
              <w:tab/>
              <w:t>государственные ценные бумаги Российской Федерации, государственные ценные бумаги субъектов Российской Федерации и муниципальные ценные бумаги;</w:t>
            </w:r>
            <w:bookmarkStart w:id="4" w:name="sub_11144"/>
            <w:bookmarkEnd w:id="3"/>
          </w:p>
          <w:p w14:paraId="2B3FD2F3"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г)</w:t>
            </w:r>
            <w:r w:rsidRPr="0048738B">
              <w:rPr>
                <w:sz w:val="20"/>
                <w:szCs w:val="20"/>
              </w:rPr>
              <w:tab/>
              <w:t>облигации иностранных эмитентов и международных финансовых организаций (далее вместе - облигации иностранных эмитентов), если по ним предусмотрен возврат суммы основного долга в полном объеме и присвоенный облигациям код CFI имеет следующие значения: первая буква - значение "D", вторая буква - значение "Y", "В", "С", "Т";</w:t>
            </w:r>
            <w:bookmarkEnd w:id="4"/>
          </w:p>
          <w:p w14:paraId="4A8C6EDF"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д)</w:t>
            </w:r>
            <w:r w:rsidRPr="0048738B">
              <w:rPr>
                <w:sz w:val="20"/>
                <w:szCs w:val="20"/>
              </w:rPr>
              <w:tab/>
              <w:t>российские и иностранные депозитарные расписки на ценные бумаги, предусмотренные настоящим пунктом.</w:t>
            </w:r>
          </w:p>
          <w:p w14:paraId="08863C8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24.3 Государственные ценные бумаги субъектов Российской Федерации и муниципальные ценные бумаги могут входить в состав активов Фонда только, если они допущены к торгам организатора торговли на рынке ценных бумаг.</w:t>
            </w:r>
          </w:p>
          <w:p w14:paraId="20CBCC06"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 xml:space="preserve">Ценные бумаги иностранных государств и ценные бумаги международных финансовых организаций могут входить в состав активов Фонда при условии, что информация о заявках на покупку и/или продажу указанных ценных бумаг размещается информационными агентствами </w:t>
            </w:r>
            <w:proofErr w:type="spellStart"/>
            <w:r w:rsidRPr="0048738B">
              <w:rPr>
                <w:sz w:val="20"/>
                <w:szCs w:val="20"/>
              </w:rPr>
              <w:t>Блумберг</w:t>
            </w:r>
            <w:proofErr w:type="spellEnd"/>
            <w:r w:rsidRPr="0048738B">
              <w:rPr>
                <w:sz w:val="20"/>
                <w:szCs w:val="20"/>
              </w:rPr>
              <w:t xml:space="preserve"> (</w:t>
            </w:r>
            <w:proofErr w:type="spellStart"/>
            <w:r w:rsidRPr="0048738B">
              <w:rPr>
                <w:sz w:val="20"/>
                <w:szCs w:val="20"/>
              </w:rPr>
              <w:t>BloombergGenericMid</w:t>
            </w:r>
            <w:proofErr w:type="spellEnd"/>
            <w:r w:rsidRPr="0048738B">
              <w:rPr>
                <w:sz w:val="20"/>
                <w:szCs w:val="20"/>
              </w:rPr>
              <w:t>/</w:t>
            </w:r>
            <w:proofErr w:type="spellStart"/>
            <w:r w:rsidRPr="0048738B">
              <w:rPr>
                <w:sz w:val="20"/>
                <w:szCs w:val="20"/>
              </w:rPr>
              <w:t>Last</w:t>
            </w:r>
            <w:proofErr w:type="spellEnd"/>
            <w:r w:rsidRPr="0048738B">
              <w:rPr>
                <w:sz w:val="20"/>
                <w:szCs w:val="20"/>
              </w:rPr>
              <w:t xml:space="preserve">) или </w:t>
            </w:r>
            <w:proofErr w:type="spellStart"/>
            <w:r w:rsidRPr="0048738B">
              <w:rPr>
                <w:sz w:val="20"/>
                <w:szCs w:val="20"/>
              </w:rPr>
              <w:t>Ройтерс</w:t>
            </w:r>
            <w:proofErr w:type="spellEnd"/>
            <w:r w:rsidRPr="0048738B">
              <w:rPr>
                <w:sz w:val="20"/>
                <w:szCs w:val="20"/>
              </w:rPr>
              <w:t xml:space="preserve"> (</w:t>
            </w:r>
            <w:proofErr w:type="spellStart"/>
            <w:r w:rsidRPr="0048738B">
              <w:rPr>
                <w:sz w:val="20"/>
                <w:szCs w:val="20"/>
              </w:rPr>
              <w:t>Reuters</w:t>
            </w:r>
            <w:proofErr w:type="spellEnd"/>
            <w:r w:rsidRPr="0048738B">
              <w:rPr>
                <w:sz w:val="20"/>
                <w:szCs w:val="20"/>
              </w:rPr>
              <w:t>), либо такие ценные бумаги обращаются на организованном рынке ценных бумаг;</w:t>
            </w:r>
          </w:p>
          <w:p w14:paraId="455ECDA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В состав активов Фонда могут входить паи (акции) иностранных инвестиционных фондов закрытого типа, облигации иностранных коммерческих организаций, иностранные депозитарные расписки, если указанные ценные бумаги прошли процедуру листинга на одной из следующих фондовых бирж:</w:t>
            </w:r>
          </w:p>
          <w:p w14:paraId="6103965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 Американская фондовая биржа (</w:t>
            </w:r>
            <w:proofErr w:type="spellStart"/>
            <w:r w:rsidRPr="0048738B">
              <w:rPr>
                <w:sz w:val="20"/>
                <w:szCs w:val="20"/>
              </w:rPr>
              <w:t>AmericanStockExchange</w:t>
            </w:r>
            <w:proofErr w:type="spellEnd"/>
            <w:r w:rsidRPr="0048738B">
              <w:rPr>
                <w:sz w:val="20"/>
                <w:szCs w:val="20"/>
              </w:rPr>
              <w:t>);</w:t>
            </w:r>
          </w:p>
          <w:p w14:paraId="61AA92CA"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 Гонконгская фондовая биржа (</w:t>
            </w:r>
            <w:proofErr w:type="spellStart"/>
            <w:r w:rsidRPr="0048738B">
              <w:rPr>
                <w:sz w:val="20"/>
                <w:szCs w:val="20"/>
              </w:rPr>
              <w:t>HongKongStockExchange</w:t>
            </w:r>
            <w:proofErr w:type="spellEnd"/>
            <w:r w:rsidRPr="0048738B">
              <w:rPr>
                <w:sz w:val="20"/>
                <w:szCs w:val="20"/>
              </w:rPr>
              <w:t>);</w:t>
            </w:r>
          </w:p>
          <w:p w14:paraId="67CE48C4" w14:textId="77777777" w:rsidR="003F4824" w:rsidRPr="0048738B" w:rsidRDefault="003F4824" w:rsidP="00216FE1">
            <w:pPr>
              <w:autoSpaceDE w:val="0"/>
              <w:autoSpaceDN w:val="0"/>
              <w:adjustRightInd w:val="0"/>
              <w:ind w:firstLine="540"/>
              <w:jc w:val="both"/>
              <w:rPr>
                <w:sz w:val="20"/>
                <w:szCs w:val="20"/>
                <w:lang w:val="en-US"/>
              </w:rPr>
            </w:pPr>
            <w:r w:rsidRPr="0048738B">
              <w:rPr>
                <w:sz w:val="20"/>
                <w:szCs w:val="20"/>
                <w:lang w:val="en-US"/>
              </w:rPr>
              <w:t xml:space="preserve">3) </w:t>
            </w:r>
            <w:proofErr w:type="spellStart"/>
            <w:r w:rsidRPr="0048738B">
              <w:rPr>
                <w:sz w:val="20"/>
                <w:szCs w:val="20"/>
              </w:rPr>
              <w:t>Евронекст</w:t>
            </w:r>
            <w:proofErr w:type="spellEnd"/>
            <w:r w:rsidRPr="0048738B">
              <w:rPr>
                <w:sz w:val="20"/>
                <w:szCs w:val="20"/>
                <w:lang w:val="en-US"/>
              </w:rPr>
              <w:t xml:space="preserve"> (Euronext Amsterdam, Euronext Brussels, Euronext Lisbon, Euronext Paris);</w:t>
            </w:r>
          </w:p>
          <w:p w14:paraId="6FCA6AEE"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4) Закрытое акционерное общество "Фондовая биржа ММВБ";</w:t>
            </w:r>
          </w:p>
          <w:p w14:paraId="43752399"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5) Ирландская фондовая биржа (</w:t>
            </w:r>
            <w:proofErr w:type="spellStart"/>
            <w:r w:rsidRPr="0048738B">
              <w:rPr>
                <w:sz w:val="20"/>
                <w:szCs w:val="20"/>
              </w:rPr>
              <w:t>IrishStockExchange</w:t>
            </w:r>
            <w:proofErr w:type="spellEnd"/>
            <w:r w:rsidRPr="0048738B">
              <w:rPr>
                <w:sz w:val="20"/>
                <w:szCs w:val="20"/>
              </w:rPr>
              <w:t>);</w:t>
            </w:r>
          </w:p>
          <w:p w14:paraId="7FE37739"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 xml:space="preserve">6) Испанская фондовая биржа (BME </w:t>
            </w:r>
            <w:proofErr w:type="spellStart"/>
            <w:r w:rsidRPr="0048738B">
              <w:rPr>
                <w:sz w:val="20"/>
                <w:szCs w:val="20"/>
              </w:rPr>
              <w:t>SpanishExchanges</w:t>
            </w:r>
            <w:proofErr w:type="spellEnd"/>
            <w:r w:rsidRPr="0048738B">
              <w:rPr>
                <w:sz w:val="20"/>
                <w:szCs w:val="20"/>
              </w:rPr>
              <w:t>);</w:t>
            </w:r>
          </w:p>
          <w:p w14:paraId="5461D35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7) Итальянская фондовая биржа (</w:t>
            </w:r>
            <w:proofErr w:type="spellStart"/>
            <w:r w:rsidRPr="0048738B">
              <w:rPr>
                <w:sz w:val="20"/>
                <w:szCs w:val="20"/>
              </w:rPr>
              <w:t>BorsaItaliana</w:t>
            </w:r>
            <w:proofErr w:type="spellEnd"/>
            <w:r w:rsidRPr="0048738B">
              <w:rPr>
                <w:sz w:val="20"/>
                <w:szCs w:val="20"/>
              </w:rPr>
              <w:t>);</w:t>
            </w:r>
          </w:p>
          <w:p w14:paraId="47F4D65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8) Корейская биржа (</w:t>
            </w:r>
            <w:proofErr w:type="spellStart"/>
            <w:r w:rsidRPr="0048738B">
              <w:rPr>
                <w:sz w:val="20"/>
                <w:szCs w:val="20"/>
              </w:rPr>
              <w:t>KoreaExchange</w:t>
            </w:r>
            <w:proofErr w:type="spellEnd"/>
            <w:r w:rsidRPr="0048738B">
              <w:rPr>
                <w:sz w:val="20"/>
                <w:szCs w:val="20"/>
              </w:rPr>
              <w:t>);</w:t>
            </w:r>
          </w:p>
          <w:p w14:paraId="16CEBFFD"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9) Лондонская фондовая биржа (</w:t>
            </w:r>
            <w:proofErr w:type="spellStart"/>
            <w:r w:rsidRPr="0048738B">
              <w:rPr>
                <w:sz w:val="20"/>
                <w:szCs w:val="20"/>
              </w:rPr>
              <w:t>LondonStockExchange</w:t>
            </w:r>
            <w:proofErr w:type="spellEnd"/>
            <w:r w:rsidRPr="0048738B">
              <w:rPr>
                <w:sz w:val="20"/>
                <w:szCs w:val="20"/>
              </w:rPr>
              <w:t>);</w:t>
            </w:r>
          </w:p>
          <w:p w14:paraId="14A8093B"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10) Люксембургская фондовая биржа (</w:t>
            </w:r>
            <w:proofErr w:type="spellStart"/>
            <w:r w:rsidRPr="0048738B">
              <w:rPr>
                <w:sz w:val="20"/>
                <w:szCs w:val="20"/>
              </w:rPr>
              <w:t>LuxembourgStockExchange</w:t>
            </w:r>
            <w:proofErr w:type="spellEnd"/>
            <w:r w:rsidRPr="0048738B">
              <w:rPr>
                <w:sz w:val="20"/>
                <w:szCs w:val="20"/>
              </w:rPr>
              <w:t>);</w:t>
            </w:r>
          </w:p>
          <w:p w14:paraId="0D76D86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 xml:space="preserve">11) </w:t>
            </w:r>
            <w:proofErr w:type="spellStart"/>
            <w:r w:rsidRPr="0048738B">
              <w:rPr>
                <w:sz w:val="20"/>
                <w:szCs w:val="20"/>
              </w:rPr>
              <w:t>Насдак</w:t>
            </w:r>
            <w:proofErr w:type="spellEnd"/>
            <w:r w:rsidRPr="0048738B">
              <w:rPr>
                <w:sz w:val="20"/>
                <w:szCs w:val="20"/>
              </w:rPr>
              <w:t xml:space="preserve"> (</w:t>
            </w:r>
            <w:proofErr w:type="spellStart"/>
            <w:r w:rsidRPr="0048738B">
              <w:rPr>
                <w:sz w:val="20"/>
                <w:szCs w:val="20"/>
              </w:rPr>
              <w:t>Nasdaq</w:t>
            </w:r>
            <w:proofErr w:type="spellEnd"/>
            <w:r w:rsidRPr="0048738B">
              <w:rPr>
                <w:sz w:val="20"/>
                <w:szCs w:val="20"/>
              </w:rPr>
              <w:t>);</w:t>
            </w:r>
          </w:p>
          <w:p w14:paraId="2357C0B4"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12) Немецкая фондовая биржа (</w:t>
            </w:r>
            <w:proofErr w:type="spellStart"/>
            <w:r w:rsidRPr="0048738B">
              <w:rPr>
                <w:sz w:val="20"/>
                <w:szCs w:val="20"/>
              </w:rPr>
              <w:t>DeutscheBorse</w:t>
            </w:r>
            <w:proofErr w:type="spellEnd"/>
            <w:r w:rsidRPr="0048738B">
              <w:rPr>
                <w:sz w:val="20"/>
                <w:szCs w:val="20"/>
              </w:rPr>
              <w:t>);</w:t>
            </w:r>
          </w:p>
          <w:p w14:paraId="78888D75" w14:textId="77777777" w:rsidR="003F4824" w:rsidRPr="0048738B" w:rsidRDefault="003F4824" w:rsidP="00216FE1">
            <w:pPr>
              <w:autoSpaceDE w:val="0"/>
              <w:autoSpaceDN w:val="0"/>
              <w:adjustRightInd w:val="0"/>
              <w:ind w:firstLine="540"/>
              <w:jc w:val="both"/>
              <w:rPr>
                <w:sz w:val="20"/>
                <w:szCs w:val="20"/>
                <w:lang w:val="en-US"/>
              </w:rPr>
            </w:pPr>
            <w:r w:rsidRPr="0048738B">
              <w:rPr>
                <w:sz w:val="20"/>
                <w:szCs w:val="20"/>
                <w:lang w:val="en-US"/>
              </w:rPr>
              <w:t xml:space="preserve">13) </w:t>
            </w:r>
            <w:r w:rsidRPr="0048738B">
              <w:rPr>
                <w:sz w:val="20"/>
                <w:szCs w:val="20"/>
              </w:rPr>
              <w:t>Нью</w:t>
            </w:r>
            <w:r w:rsidRPr="0048738B">
              <w:rPr>
                <w:sz w:val="20"/>
                <w:szCs w:val="20"/>
                <w:lang w:val="en-US"/>
              </w:rPr>
              <w:t>-</w:t>
            </w:r>
            <w:proofErr w:type="spellStart"/>
            <w:r w:rsidRPr="0048738B">
              <w:rPr>
                <w:sz w:val="20"/>
                <w:szCs w:val="20"/>
              </w:rPr>
              <w:t>Йоркскаяфондоваябиржа</w:t>
            </w:r>
            <w:proofErr w:type="spellEnd"/>
            <w:r w:rsidRPr="0048738B">
              <w:rPr>
                <w:sz w:val="20"/>
                <w:szCs w:val="20"/>
                <w:lang w:val="en-US"/>
              </w:rPr>
              <w:t xml:space="preserve"> (New York Stock Exchange);</w:t>
            </w:r>
          </w:p>
          <w:p w14:paraId="29A7BA1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14) Открытое акционерное общество "Фондовая биржа "Российская Торговая Система";</w:t>
            </w:r>
          </w:p>
          <w:p w14:paraId="2299DBB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15) Токийская фондовая биржа (</w:t>
            </w:r>
            <w:proofErr w:type="spellStart"/>
            <w:r w:rsidRPr="0048738B">
              <w:rPr>
                <w:sz w:val="20"/>
                <w:szCs w:val="20"/>
              </w:rPr>
              <w:t>TokyoStockExchangeGroup</w:t>
            </w:r>
            <w:proofErr w:type="spellEnd"/>
            <w:r w:rsidRPr="0048738B">
              <w:rPr>
                <w:sz w:val="20"/>
                <w:szCs w:val="20"/>
              </w:rPr>
              <w:t>);</w:t>
            </w:r>
          </w:p>
          <w:p w14:paraId="038DF404" w14:textId="77777777" w:rsidR="003F4824" w:rsidRPr="00974A38" w:rsidRDefault="003F4824" w:rsidP="00216FE1">
            <w:pPr>
              <w:autoSpaceDE w:val="0"/>
              <w:autoSpaceDN w:val="0"/>
              <w:adjustRightInd w:val="0"/>
              <w:ind w:firstLine="540"/>
              <w:jc w:val="both"/>
              <w:rPr>
                <w:sz w:val="20"/>
                <w:szCs w:val="20"/>
              </w:rPr>
            </w:pPr>
            <w:r w:rsidRPr="00974A38">
              <w:rPr>
                <w:sz w:val="20"/>
                <w:szCs w:val="20"/>
              </w:rPr>
              <w:t xml:space="preserve">16) </w:t>
            </w:r>
            <w:proofErr w:type="spellStart"/>
            <w:r w:rsidRPr="0048738B">
              <w:rPr>
                <w:sz w:val="20"/>
                <w:szCs w:val="20"/>
              </w:rPr>
              <w:t>ФондоваябиржаТоронто</w:t>
            </w:r>
            <w:proofErr w:type="spellEnd"/>
            <w:r w:rsidRPr="00974A38">
              <w:rPr>
                <w:sz w:val="20"/>
                <w:szCs w:val="20"/>
              </w:rPr>
              <w:t xml:space="preserve"> (</w:t>
            </w:r>
            <w:proofErr w:type="spellStart"/>
            <w:r w:rsidRPr="0048738B">
              <w:rPr>
                <w:sz w:val="20"/>
                <w:szCs w:val="20"/>
                <w:lang w:val="en-US"/>
              </w:rPr>
              <w:t>TorontoStockExchange</w:t>
            </w:r>
            <w:proofErr w:type="spellEnd"/>
            <w:r w:rsidRPr="00974A38">
              <w:rPr>
                <w:sz w:val="20"/>
                <w:szCs w:val="20"/>
              </w:rPr>
              <w:t xml:space="preserve">, </w:t>
            </w:r>
            <w:proofErr w:type="spellStart"/>
            <w:r w:rsidRPr="0048738B">
              <w:rPr>
                <w:sz w:val="20"/>
                <w:szCs w:val="20"/>
                <w:lang w:val="en-US"/>
              </w:rPr>
              <w:t>TSXGroup</w:t>
            </w:r>
            <w:proofErr w:type="spellEnd"/>
            <w:r w:rsidRPr="00974A38">
              <w:rPr>
                <w:sz w:val="20"/>
                <w:szCs w:val="20"/>
              </w:rPr>
              <w:t>);</w:t>
            </w:r>
          </w:p>
          <w:p w14:paraId="77D6E157"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17) Фондовая биржа Швейцарии (</w:t>
            </w:r>
            <w:proofErr w:type="spellStart"/>
            <w:r w:rsidRPr="0048738B">
              <w:rPr>
                <w:sz w:val="20"/>
                <w:szCs w:val="20"/>
              </w:rPr>
              <w:t>SwissExchange</w:t>
            </w:r>
            <w:proofErr w:type="spellEnd"/>
            <w:r w:rsidRPr="0048738B">
              <w:rPr>
                <w:sz w:val="20"/>
                <w:szCs w:val="20"/>
              </w:rPr>
              <w:t>);</w:t>
            </w:r>
          </w:p>
          <w:p w14:paraId="098FC709"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18) Шанхайская фондовая биржа (</w:t>
            </w:r>
            <w:proofErr w:type="spellStart"/>
            <w:r w:rsidRPr="0048738B">
              <w:rPr>
                <w:sz w:val="20"/>
                <w:szCs w:val="20"/>
              </w:rPr>
              <w:t>ShanghaiStockExchange</w:t>
            </w:r>
            <w:proofErr w:type="spellEnd"/>
            <w:r w:rsidRPr="0048738B">
              <w:rPr>
                <w:sz w:val="20"/>
                <w:szCs w:val="20"/>
              </w:rPr>
              <w:t>).</w:t>
            </w:r>
          </w:p>
          <w:p w14:paraId="6BD364A1" w14:textId="77777777" w:rsidR="003F4824" w:rsidRPr="0048738B" w:rsidRDefault="003F4824" w:rsidP="00216FE1">
            <w:pPr>
              <w:shd w:val="clear" w:color="auto" w:fill="FFFFFF"/>
              <w:ind w:firstLine="540"/>
              <w:rPr>
                <w:sz w:val="20"/>
                <w:szCs w:val="20"/>
              </w:rPr>
            </w:pPr>
            <w:r w:rsidRPr="0048738B">
              <w:rPr>
                <w:sz w:val="20"/>
                <w:szCs w:val="20"/>
              </w:rPr>
              <w:t>Лица, обязанные по:</w:t>
            </w:r>
          </w:p>
          <w:p w14:paraId="27C875D1" w14:textId="77777777" w:rsidR="003F4824" w:rsidRPr="0048738B" w:rsidRDefault="003F4824" w:rsidP="003F4824">
            <w:pPr>
              <w:numPr>
                <w:ilvl w:val="0"/>
                <w:numId w:val="3"/>
              </w:numPr>
              <w:shd w:val="clear" w:color="auto" w:fill="FFFFFF"/>
              <w:ind w:left="0" w:firstLine="540"/>
              <w:jc w:val="both"/>
              <w:rPr>
                <w:sz w:val="20"/>
                <w:szCs w:val="20"/>
              </w:rPr>
            </w:pPr>
            <w:r w:rsidRPr="0048738B">
              <w:rPr>
                <w:sz w:val="20"/>
                <w:szCs w:val="20"/>
              </w:rPr>
              <w:t>государственным ценным бумагам Российской Федерации, государственным ценным бумагам субъектов Российской Федерации, муниципальным ценным бумагам, инвестиционным паям паевых инвестиционных фондов, акциям акционерных инвестиционных фондов, облигациям российских хозяйственных обществ, российским депозитарным распискам должны быть зарегистрированы в Российской Федерации;</w:t>
            </w:r>
          </w:p>
          <w:p w14:paraId="505C9A2F" w14:textId="77777777" w:rsidR="003F4824" w:rsidRPr="0048738B" w:rsidRDefault="003F4824" w:rsidP="003F4824">
            <w:pPr>
              <w:numPr>
                <w:ilvl w:val="0"/>
                <w:numId w:val="3"/>
              </w:numPr>
              <w:shd w:val="clear" w:color="auto" w:fill="FFFFFF"/>
              <w:tabs>
                <w:tab w:val="num" w:pos="709"/>
              </w:tabs>
              <w:ind w:left="0" w:firstLine="540"/>
              <w:jc w:val="both"/>
              <w:rPr>
                <w:sz w:val="20"/>
                <w:szCs w:val="20"/>
              </w:rPr>
            </w:pPr>
            <w:r w:rsidRPr="0048738B">
              <w:rPr>
                <w:sz w:val="20"/>
                <w:szCs w:val="20"/>
              </w:rPr>
              <w:t>облигациям иностранных эмитентов, иностранным депозитарным распискам, паям (акциям) иностранных инвестиционных фондов должны быть зарегистрированы в Соединенных Штатах</w:t>
            </w:r>
            <w:r w:rsidRPr="0048738B">
              <w:rPr>
                <w:color w:val="1A171B"/>
                <w:sz w:val="20"/>
                <w:szCs w:val="20"/>
              </w:rPr>
              <w:t xml:space="preserve"> Америки или в государствах, являющихся членами Европейского Союза.</w:t>
            </w:r>
          </w:p>
          <w:p w14:paraId="0B93CCF4" w14:textId="77777777" w:rsidR="003F4824" w:rsidRPr="0048738B" w:rsidRDefault="003F4824" w:rsidP="00216FE1">
            <w:pPr>
              <w:shd w:val="clear" w:color="auto" w:fill="FFFFFF"/>
              <w:tabs>
                <w:tab w:val="num" w:pos="709"/>
              </w:tabs>
              <w:ind w:firstLine="540"/>
              <w:jc w:val="both"/>
              <w:rPr>
                <w:color w:val="1A171B"/>
                <w:sz w:val="20"/>
                <w:szCs w:val="20"/>
              </w:rPr>
            </w:pPr>
            <w:r w:rsidRPr="0048738B">
              <w:rPr>
                <w:color w:val="1A171B"/>
                <w:sz w:val="20"/>
                <w:szCs w:val="20"/>
              </w:rPr>
              <w:t>Имущество, составляющее Фонд, может быть инвестировано в облигации, эмитентами которых могут быть:</w:t>
            </w:r>
          </w:p>
          <w:p w14:paraId="402A51E1"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российские органы государственной власти;</w:t>
            </w:r>
          </w:p>
          <w:p w14:paraId="32940925"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иностранные органы государственной власти;</w:t>
            </w:r>
          </w:p>
          <w:p w14:paraId="742F9333"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органы местного самоуправления;</w:t>
            </w:r>
          </w:p>
          <w:p w14:paraId="602F05A9"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международные финансовые организации;</w:t>
            </w:r>
          </w:p>
          <w:p w14:paraId="06F9013C"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российские юридические лица;</w:t>
            </w:r>
          </w:p>
          <w:p w14:paraId="19B1104C" w14:textId="77777777" w:rsidR="003F4824" w:rsidRPr="0048738B" w:rsidRDefault="003F4824" w:rsidP="003F4824">
            <w:pPr>
              <w:numPr>
                <w:ilvl w:val="0"/>
                <w:numId w:val="4"/>
              </w:numPr>
              <w:shd w:val="clear" w:color="auto" w:fill="FFFFFF"/>
              <w:tabs>
                <w:tab w:val="num" w:pos="709"/>
              </w:tabs>
              <w:ind w:left="0" w:firstLine="540"/>
              <w:jc w:val="both"/>
              <w:rPr>
                <w:sz w:val="20"/>
                <w:szCs w:val="20"/>
              </w:rPr>
            </w:pPr>
            <w:r w:rsidRPr="0048738B">
              <w:rPr>
                <w:color w:val="1A171B"/>
                <w:sz w:val="20"/>
                <w:szCs w:val="20"/>
              </w:rPr>
              <w:t>иностранные юридические лица.</w:t>
            </w:r>
          </w:p>
          <w:p w14:paraId="38CB019C" w14:textId="77777777" w:rsidR="003F4824" w:rsidRPr="0048738B" w:rsidRDefault="003F4824" w:rsidP="00216FE1">
            <w:pPr>
              <w:shd w:val="clear" w:color="auto" w:fill="FFFFFF"/>
              <w:tabs>
                <w:tab w:val="num" w:pos="709"/>
              </w:tabs>
              <w:ind w:firstLine="540"/>
              <w:jc w:val="both"/>
              <w:rPr>
                <w:sz w:val="20"/>
                <w:szCs w:val="20"/>
              </w:rPr>
            </w:pPr>
            <w:r w:rsidRPr="0048738B">
              <w:rPr>
                <w:color w:val="1A171B"/>
                <w:sz w:val="20"/>
                <w:szCs w:val="20"/>
              </w:rPr>
              <w:t>Ценные бумаги, составляющие Фонд, могут быть как включены, так и не включены в котировальные списки фондовых бирж.</w:t>
            </w:r>
          </w:p>
          <w:p w14:paraId="5F099AE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25. Структура активов Фонда.</w:t>
            </w:r>
          </w:p>
          <w:p w14:paraId="0E87A87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25.1. Структура активов Фонда должна соответствовать одновременно следующим требованиям:</w:t>
            </w:r>
          </w:p>
          <w:p w14:paraId="0555D6D0"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1) денежные средства, находящиеся во вкладах в одной кредитной организации, могут составлять не более 25 процентов стоимости активов;</w:t>
            </w:r>
          </w:p>
          <w:p w14:paraId="491EA248"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 не менее двух третей рабочих дней в течение одного календарного года оценочная стоимость объектов, предусмотренных подпунктами 2 и 3 пункта 24.1 настоящих Правил, должна составлять не менее 40 процентов стоимости чистых активов;</w:t>
            </w:r>
          </w:p>
          <w:p w14:paraId="37449141"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3) оценочная стоимость инвестиционных паев паевых инвестиционных фондов и акций акционерных инвестиционных фондов, а также паев (акций) иностранных инвестиционных фондов может составлять не более 20 процентов стоимости активов;</w:t>
            </w:r>
          </w:p>
          <w:p w14:paraId="5C85301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4) количество инвестиционных паев паевого инвестиционного фонда, акций акционерного инвестиционного фонда и паев (акций) иностранного инвестиционного фонда может составлять не более 30 процентов количества выданных инвестиционных паев этого фонда;</w:t>
            </w:r>
          </w:p>
          <w:p w14:paraId="7C920AFC"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5) оценочная стоимость ценных бумаг одного эмитента (инвестиционного фонда) может составлять не более 15 процентов стоимости активов.</w:t>
            </w:r>
          </w:p>
          <w:p w14:paraId="09BC6DB2"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25.2. Требования пункта 25.1 настоящих Правил применяются с истечения 30 дней с даты завершения (окончания) формирования Фонда и до даты возникновения основания прекращения Фонда.</w:t>
            </w:r>
          </w:p>
          <w:p w14:paraId="1CC8FACA"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Требование подпункта 2 пункта 25.1 настоящих Правил применяется по истечении одного года с даты завершения формирования Фонда.</w:t>
            </w:r>
          </w:p>
          <w:p w14:paraId="6549E8E7"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Требование подпункта 2 пункта 25.1 настоящих Правил не применяется к структуре активов Фонда, если до окончания срока доверительного управления Фондом осталось менее 1 года.</w:t>
            </w:r>
          </w:p>
          <w:p w14:paraId="5F78D7BC"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Требования подпункта 5 пункта 25.1 настоящих Правил не распространяется на государственные ценные бумаги Российской Федерации, а также на ценные бумаги иностранных государств и международных финансовых организаций, если эмитенту таких ценных бумаг присвоен рейтинг долгосрочной кредитоспособности не ниже уровня "BBB-" по классификации рейтинговых агентств "</w:t>
            </w:r>
            <w:proofErr w:type="spellStart"/>
            <w:r w:rsidRPr="0048738B">
              <w:rPr>
                <w:sz w:val="20"/>
                <w:szCs w:val="20"/>
              </w:rPr>
              <w:t>ФитчРейтингс</w:t>
            </w:r>
            <w:proofErr w:type="spellEnd"/>
            <w:r w:rsidRPr="0048738B">
              <w:rPr>
                <w:sz w:val="20"/>
                <w:szCs w:val="20"/>
              </w:rPr>
              <w:t>" (</w:t>
            </w:r>
            <w:proofErr w:type="spellStart"/>
            <w:r w:rsidRPr="0048738B">
              <w:rPr>
                <w:sz w:val="20"/>
                <w:szCs w:val="20"/>
              </w:rPr>
              <w:t>Fitch-Ratings</w:t>
            </w:r>
            <w:proofErr w:type="spellEnd"/>
            <w:r w:rsidRPr="0048738B">
              <w:rPr>
                <w:sz w:val="20"/>
                <w:szCs w:val="20"/>
              </w:rPr>
              <w:t xml:space="preserve">) или "Стандарт энд </w:t>
            </w:r>
            <w:proofErr w:type="spellStart"/>
            <w:r w:rsidRPr="0048738B">
              <w:rPr>
                <w:sz w:val="20"/>
                <w:szCs w:val="20"/>
              </w:rPr>
              <w:t>Пурс</w:t>
            </w:r>
            <w:proofErr w:type="spellEnd"/>
            <w:r w:rsidRPr="0048738B">
              <w:rPr>
                <w:sz w:val="20"/>
                <w:szCs w:val="20"/>
              </w:rPr>
              <w:t>" (</w:t>
            </w:r>
            <w:proofErr w:type="spellStart"/>
            <w:r w:rsidRPr="0048738B">
              <w:rPr>
                <w:sz w:val="20"/>
                <w:szCs w:val="20"/>
              </w:rPr>
              <w:t>Standard&amp;Poor's</w:t>
            </w:r>
            <w:proofErr w:type="spellEnd"/>
            <w:r w:rsidRPr="0048738B">
              <w:rPr>
                <w:sz w:val="20"/>
                <w:szCs w:val="20"/>
              </w:rPr>
              <w:t>) либо не ниже уровня "Baa3" по классификации рейтингового агентства "</w:t>
            </w:r>
            <w:proofErr w:type="spellStart"/>
            <w:r w:rsidRPr="0048738B">
              <w:rPr>
                <w:sz w:val="20"/>
                <w:szCs w:val="20"/>
              </w:rPr>
              <w:t>МудисИнвесторс</w:t>
            </w:r>
            <w:proofErr w:type="spellEnd"/>
            <w:r w:rsidRPr="0048738B">
              <w:rPr>
                <w:sz w:val="20"/>
                <w:szCs w:val="20"/>
              </w:rPr>
              <w:t xml:space="preserve"> Сервис" (</w:t>
            </w:r>
            <w:proofErr w:type="spellStart"/>
            <w:r w:rsidRPr="0048738B">
              <w:rPr>
                <w:sz w:val="20"/>
                <w:szCs w:val="20"/>
              </w:rPr>
              <w:t>Moody'sInvestorsService</w:t>
            </w:r>
            <w:proofErr w:type="spellEnd"/>
            <w:r w:rsidRPr="0048738B">
              <w:rPr>
                <w:sz w:val="20"/>
                <w:szCs w:val="20"/>
              </w:rPr>
              <w:t>).</w:t>
            </w:r>
          </w:p>
          <w:p w14:paraId="39F91DC4" w14:textId="77777777" w:rsidR="003F4824" w:rsidRPr="0048738B" w:rsidRDefault="003F4824" w:rsidP="00216FE1">
            <w:pPr>
              <w:autoSpaceDE w:val="0"/>
              <w:autoSpaceDN w:val="0"/>
              <w:adjustRightInd w:val="0"/>
              <w:ind w:firstLine="540"/>
              <w:jc w:val="both"/>
              <w:rPr>
                <w:sz w:val="20"/>
                <w:szCs w:val="20"/>
              </w:rPr>
            </w:pPr>
            <w:r w:rsidRPr="0048738B">
              <w:rPr>
                <w:sz w:val="20"/>
                <w:szCs w:val="20"/>
              </w:rPr>
              <w:t>26. Описание рисков, связанных с инвестированием.</w:t>
            </w:r>
          </w:p>
          <w:p w14:paraId="24F7B335" w14:textId="77777777" w:rsidR="003F4824" w:rsidRPr="0048738B" w:rsidRDefault="003F4824" w:rsidP="00216FE1">
            <w:pPr>
              <w:ind w:firstLine="540"/>
              <w:jc w:val="both"/>
              <w:rPr>
                <w:sz w:val="20"/>
                <w:szCs w:val="20"/>
              </w:rPr>
            </w:pPr>
            <w:r w:rsidRPr="0048738B">
              <w:rPr>
                <w:sz w:val="20"/>
                <w:szCs w:val="20"/>
              </w:rPr>
              <w:t>Инвестирование в ценные бумаги, в недвижимое имущество и (или) в права на недвижимое имущество связано с высокой степенью рисков и не подразумевает гарантий, как по возврату основной инвестированной суммы, так и по получению каких-либо доходов.</w:t>
            </w:r>
          </w:p>
          <w:p w14:paraId="4DA2CB46" w14:textId="77777777" w:rsidR="003F4824" w:rsidRPr="0048738B" w:rsidRDefault="003F4824" w:rsidP="00216FE1">
            <w:pPr>
              <w:ind w:firstLine="540"/>
              <w:jc w:val="both"/>
              <w:rPr>
                <w:sz w:val="20"/>
                <w:szCs w:val="20"/>
              </w:rPr>
            </w:pPr>
            <w:r w:rsidRPr="0048738B">
              <w:rPr>
                <w:sz w:val="20"/>
                <w:szCs w:val="20"/>
              </w:rPr>
              <w:t>Стоимость объектов вложения средств и соответственно расчетная стоимость инвестиционного пая могут увеличиваться и уменьшаться, результаты инвестирования в прошлом не определяют доходы в будущем, государство не гарантирует доходность инвестиций в Фонд. Заявления любых лиц об увеличении в будущем стоимости инвестиционного пая могут расцениваться не иначе как предположения.</w:t>
            </w:r>
          </w:p>
          <w:p w14:paraId="795D2028" w14:textId="77777777" w:rsidR="003F4824" w:rsidRPr="0048738B" w:rsidRDefault="003F4824" w:rsidP="00216FE1">
            <w:pPr>
              <w:ind w:firstLine="540"/>
              <w:jc w:val="both"/>
              <w:rPr>
                <w:sz w:val="20"/>
                <w:szCs w:val="20"/>
              </w:rPr>
            </w:pPr>
            <w:r w:rsidRPr="0048738B">
              <w:rPr>
                <w:sz w:val="20"/>
                <w:szCs w:val="20"/>
              </w:rPr>
              <w:t>Настоящее описание рисков не раскрывает информации обо всех рисках вследствие разнообразия ситуаций, возникающих при инвестировании.</w:t>
            </w:r>
          </w:p>
          <w:p w14:paraId="04A795AC" w14:textId="77777777" w:rsidR="003F4824" w:rsidRPr="0048738B" w:rsidRDefault="003F4824" w:rsidP="00216FE1">
            <w:pPr>
              <w:ind w:firstLine="540"/>
              <w:jc w:val="both"/>
              <w:rPr>
                <w:sz w:val="20"/>
                <w:szCs w:val="20"/>
              </w:rPr>
            </w:pPr>
            <w:r w:rsidRPr="0048738B">
              <w:rPr>
                <w:sz w:val="20"/>
                <w:szCs w:val="20"/>
              </w:rPr>
              <w:t>В наиболее общем виде понятие риска связано с возможностью положительного или отрицательного отклонения результата деятельности от ожидаемых или плановых значений, т.е. риск характеризует неопределенность получения ожидаемого финансового результата по итогам инвестиционной деятельности.</w:t>
            </w:r>
          </w:p>
          <w:p w14:paraId="2C2593C5" w14:textId="77777777" w:rsidR="003F4824" w:rsidRPr="0048738B" w:rsidRDefault="003F4824" w:rsidP="00216FE1">
            <w:pPr>
              <w:ind w:firstLine="540"/>
              <w:jc w:val="both"/>
              <w:rPr>
                <w:sz w:val="20"/>
                <w:szCs w:val="20"/>
              </w:rPr>
            </w:pPr>
            <w:r w:rsidRPr="0048738B">
              <w:rPr>
                <w:sz w:val="20"/>
                <w:szCs w:val="20"/>
              </w:rPr>
              <w:t>Для целей настоящего описания под риском при осуществлении операций по инвестированию понимается возможность наступления события, влекущего за собой потери для инвестора.</w:t>
            </w:r>
          </w:p>
          <w:p w14:paraId="38A2AD75" w14:textId="77777777" w:rsidR="003F4824" w:rsidRPr="0048738B" w:rsidRDefault="003F4824" w:rsidP="00216FE1">
            <w:pPr>
              <w:ind w:firstLine="540"/>
              <w:jc w:val="both"/>
              <w:rPr>
                <w:sz w:val="20"/>
                <w:szCs w:val="20"/>
              </w:rPr>
            </w:pPr>
            <w:r w:rsidRPr="0048738B">
              <w:rPr>
                <w:sz w:val="20"/>
                <w:szCs w:val="20"/>
              </w:rPr>
              <w:t>Инвестор неизбежно сталкивается с необходимостью учитывать факторы риска самого различного свойства. Риски инвестирования в ценные бумаги, в недвижимое имущество и (или) в права на недвижимое имущество включают, но не ограничиваются следующими рисками:</w:t>
            </w:r>
          </w:p>
          <w:p w14:paraId="53E52085" w14:textId="77777777" w:rsidR="003F4824" w:rsidRPr="0048738B" w:rsidRDefault="003F4824" w:rsidP="00216FE1">
            <w:pPr>
              <w:ind w:firstLine="540"/>
              <w:jc w:val="both"/>
              <w:rPr>
                <w:sz w:val="20"/>
                <w:szCs w:val="20"/>
              </w:rPr>
            </w:pPr>
            <w:r w:rsidRPr="0048738B">
              <w:rPr>
                <w:sz w:val="20"/>
                <w:szCs w:val="20"/>
              </w:rPr>
              <w:t>- политические и экономические риски, связанные с возможностью изменения политической ситуации, экспроприации, национализации, проведения политики, направленной на ограничение инвестиций в отрасли экономики, являющиеся сферой особых государственных интересов, падением цен на энергоресурсы и прочие обстоятельства;</w:t>
            </w:r>
          </w:p>
          <w:p w14:paraId="181D5EF1" w14:textId="77777777" w:rsidR="003F4824" w:rsidRPr="0048738B" w:rsidRDefault="003F4824" w:rsidP="00216FE1">
            <w:pPr>
              <w:ind w:firstLine="540"/>
              <w:jc w:val="both"/>
              <w:rPr>
                <w:sz w:val="20"/>
                <w:szCs w:val="20"/>
              </w:rPr>
            </w:pPr>
            <w:r w:rsidRPr="0048738B">
              <w:rPr>
                <w:sz w:val="20"/>
                <w:szCs w:val="20"/>
              </w:rPr>
              <w:t>- системный риск, связанный с неспособностью большого числа финансовых институтов выполнять свои обязательства. К системным рискам относится риск банковской системы;</w:t>
            </w:r>
          </w:p>
          <w:p w14:paraId="39D0081C" w14:textId="77777777" w:rsidR="003F4824" w:rsidRPr="0048738B" w:rsidRDefault="003F4824" w:rsidP="00216FE1">
            <w:pPr>
              <w:ind w:firstLine="540"/>
              <w:jc w:val="both"/>
              <w:rPr>
                <w:sz w:val="20"/>
                <w:szCs w:val="20"/>
              </w:rPr>
            </w:pPr>
            <w:r w:rsidRPr="0048738B">
              <w:rPr>
                <w:sz w:val="20"/>
                <w:szCs w:val="20"/>
              </w:rPr>
              <w:t>- рыночный риск, связанный с колебаниями курсов валют, процентных ставок, цен финансовых инструментов;</w:t>
            </w:r>
          </w:p>
          <w:p w14:paraId="7CD3FBBA" w14:textId="77777777" w:rsidR="003F4824" w:rsidRPr="0048738B" w:rsidRDefault="003F4824" w:rsidP="00216FE1">
            <w:pPr>
              <w:ind w:firstLine="540"/>
              <w:jc w:val="both"/>
              <w:rPr>
                <w:sz w:val="20"/>
                <w:szCs w:val="20"/>
              </w:rPr>
            </w:pPr>
            <w:r w:rsidRPr="0048738B">
              <w:rPr>
                <w:sz w:val="20"/>
                <w:szCs w:val="20"/>
              </w:rPr>
              <w:t>- ценовой риск, проявляющийся в изменении цен на недвижимость и (или) права на недвижимость, изменении цен на акции и цен на государственные ценные бумаги, которое может привести к падению стоимости активов Фонда;</w:t>
            </w:r>
          </w:p>
          <w:p w14:paraId="6B6CFB70" w14:textId="77777777" w:rsidR="003F4824" w:rsidRPr="0048738B" w:rsidRDefault="003F4824" w:rsidP="00216FE1">
            <w:pPr>
              <w:ind w:firstLine="540"/>
              <w:jc w:val="both"/>
              <w:rPr>
                <w:sz w:val="20"/>
                <w:szCs w:val="20"/>
              </w:rPr>
            </w:pPr>
            <w:r w:rsidRPr="0048738B">
              <w:rPr>
                <w:sz w:val="20"/>
                <w:szCs w:val="20"/>
              </w:rPr>
              <w:t>- риск неправомочных действий в отношении ценных бумаг, недвижимого имущества и прав на него со стороны третьих лиц;</w:t>
            </w:r>
          </w:p>
          <w:p w14:paraId="4EF6F50B" w14:textId="77777777" w:rsidR="003F4824" w:rsidRPr="0048738B" w:rsidRDefault="003F4824" w:rsidP="00216FE1">
            <w:pPr>
              <w:ind w:firstLine="540"/>
              <w:jc w:val="both"/>
              <w:rPr>
                <w:sz w:val="20"/>
                <w:szCs w:val="20"/>
              </w:rPr>
            </w:pPr>
            <w:r w:rsidRPr="0048738B">
              <w:rPr>
                <w:sz w:val="20"/>
                <w:szCs w:val="20"/>
              </w:rPr>
              <w:t>- кредитный риск, связанный, в частности, с возможностью неисполнения принятых обязательств со стороны эмитентов ценных бумаг и контрагентов по сделкам;</w:t>
            </w:r>
          </w:p>
          <w:p w14:paraId="73237C7D" w14:textId="77777777" w:rsidR="003F4824" w:rsidRPr="0048738B" w:rsidRDefault="003F4824" w:rsidP="00216FE1">
            <w:pPr>
              <w:ind w:firstLine="540"/>
              <w:jc w:val="both"/>
              <w:rPr>
                <w:sz w:val="20"/>
                <w:szCs w:val="20"/>
              </w:rPr>
            </w:pPr>
            <w:r w:rsidRPr="0048738B">
              <w:rPr>
                <w:sz w:val="20"/>
                <w:szCs w:val="20"/>
              </w:rPr>
              <w:t>- риск рыночной ликвидности, связанный с потенциальной невозможностью реализовать активы по благоприятным ценам;</w:t>
            </w:r>
          </w:p>
          <w:p w14:paraId="336BAAEB" w14:textId="77777777" w:rsidR="003F4824" w:rsidRPr="0048738B" w:rsidRDefault="003F4824" w:rsidP="00216FE1">
            <w:pPr>
              <w:ind w:firstLine="540"/>
              <w:jc w:val="both"/>
              <w:rPr>
                <w:sz w:val="20"/>
                <w:szCs w:val="20"/>
              </w:rPr>
            </w:pPr>
            <w:r w:rsidRPr="0048738B">
              <w:rPr>
                <w:sz w:val="20"/>
                <w:szCs w:val="20"/>
              </w:rPr>
              <w:t>- операционный риск, связанный с возможностью неправильного функционирования оборудования и программного обеспечения, используемого при обработке транзакций, а также неправильных действий или бездействия персонала организаций, участвующих в расчетах, осуществлении депозитарной деятельности и прочие обстоятельства;</w:t>
            </w:r>
          </w:p>
          <w:p w14:paraId="4488B53D" w14:textId="77777777" w:rsidR="003F4824" w:rsidRPr="0048738B" w:rsidRDefault="003F4824" w:rsidP="00216FE1">
            <w:pPr>
              <w:ind w:firstLine="540"/>
              <w:jc w:val="both"/>
              <w:rPr>
                <w:sz w:val="20"/>
                <w:szCs w:val="20"/>
              </w:rPr>
            </w:pPr>
            <w:r w:rsidRPr="0048738B">
              <w:rPr>
                <w:sz w:val="20"/>
                <w:szCs w:val="20"/>
              </w:rPr>
              <w:t>- риск, связанный с изменениями действующего законодательства;</w:t>
            </w:r>
          </w:p>
          <w:p w14:paraId="4B9DC405" w14:textId="77777777" w:rsidR="003F4824" w:rsidRPr="0048738B" w:rsidRDefault="003F4824" w:rsidP="00216FE1">
            <w:pPr>
              <w:ind w:firstLine="540"/>
              <w:jc w:val="both"/>
              <w:rPr>
                <w:sz w:val="20"/>
                <w:szCs w:val="20"/>
              </w:rPr>
            </w:pPr>
            <w:r w:rsidRPr="0048738B">
              <w:rPr>
                <w:sz w:val="20"/>
                <w:szCs w:val="20"/>
              </w:rPr>
              <w:t>- риск возникновения форс-мажорных обстоятельств, таких как природные катаклизмы и военные действия.</w:t>
            </w:r>
          </w:p>
          <w:p w14:paraId="7E75CC01" w14:textId="77777777" w:rsidR="003F4824" w:rsidRPr="0048738B" w:rsidRDefault="003F4824" w:rsidP="00216FE1">
            <w:pPr>
              <w:ind w:firstLine="540"/>
              <w:jc w:val="both"/>
              <w:rPr>
                <w:sz w:val="20"/>
                <w:szCs w:val="20"/>
              </w:rPr>
            </w:pPr>
            <w:r w:rsidRPr="0048738B">
              <w:rPr>
                <w:sz w:val="20"/>
                <w:szCs w:val="20"/>
              </w:rPr>
              <w:t>Общеизвестна прямая зависимость величины ожидаемой прибыли от уровня принимаемого риска. Оптимальное соотношение уровней риска и ожидаемой прибыли различно и зависит от целого ряда объективных и субъективных факторов. При планировании и проведении операций с инвестиционными паями инвестор всегда должен помнить, что на практике возможности положительного и отрицательного отклонения реального результата от запланированного (или ожидаемого) часто существуют одновременно и реализуются в зависимости от целого ряда конкретных обстоятельств, степень учета которых, собственно, и определяет результативность операций инвестора.</w:t>
            </w:r>
          </w:p>
          <w:p w14:paraId="08203A8D" w14:textId="77777777" w:rsidR="003F4824" w:rsidRPr="0048738B" w:rsidRDefault="003F4824" w:rsidP="00216FE1">
            <w:pPr>
              <w:ind w:firstLine="540"/>
              <w:jc w:val="both"/>
              <w:rPr>
                <w:sz w:val="20"/>
                <w:szCs w:val="20"/>
              </w:rPr>
            </w:pPr>
            <w:r w:rsidRPr="0048738B">
              <w:rPr>
                <w:sz w:val="20"/>
                <w:szCs w:val="20"/>
              </w:rPr>
              <w:t>Результаты деятельности Управляющей компании в прошлом не являются гарантией доходов Фонда в будущем, и решение о приобретении инвестиционных паев принимается инвестором самостоятельно после ознакомления с настоящими Правилами.</w:t>
            </w:r>
          </w:p>
          <w:p w14:paraId="5772F42F" w14:textId="77777777" w:rsidR="003F4824" w:rsidRPr="00083277" w:rsidRDefault="003F4824" w:rsidP="00216FE1">
            <w:pPr>
              <w:pStyle w:val="ConsPlusNormal"/>
              <w:widowControl/>
              <w:ind w:firstLine="540"/>
              <w:jc w:val="both"/>
              <w:rPr>
                <w:sz w:val="22"/>
                <w:szCs w:val="22"/>
              </w:rPr>
            </w:pPr>
          </w:p>
        </w:tc>
        <w:tc>
          <w:tcPr>
            <w:tcW w:w="1620" w:type="dxa"/>
          </w:tcPr>
          <w:p w14:paraId="700E9B6B" w14:textId="10754625" w:rsidR="003F4824" w:rsidRPr="00083277" w:rsidRDefault="003F4824" w:rsidP="00216FE1">
            <w:pPr>
              <w:rPr>
                <w:sz w:val="22"/>
                <w:szCs w:val="22"/>
              </w:rPr>
            </w:pPr>
            <w:r w:rsidRPr="00083277">
              <w:rPr>
                <w:sz w:val="22"/>
                <w:szCs w:val="22"/>
              </w:rPr>
              <w:lastRenderedPageBreak/>
              <w:t xml:space="preserve">Текст </w:t>
            </w:r>
            <w:r>
              <w:rPr>
                <w:sz w:val="22"/>
                <w:szCs w:val="22"/>
              </w:rPr>
              <w:t xml:space="preserve">Главы </w:t>
            </w:r>
            <w:r w:rsidRPr="00083277">
              <w:rPr>
                <w:sz w:val="22"/>
                <w:szCs w:val="22"/>
              </w:rPr>
              <w:t xml:space="preserve">изложен в новой редакции </w:t>
            </w:r>
          </w:p>
          <w:p w14:paraId="7B6D4ABC" w14:textId="77777777" w:rsidR="003F4824" w:rsidRPr="00083277" w:rsidRDefault="003F4824" w:rsidP="00216FE1">
            <w:pPr>
              <w:rPr>
                <w:sz w:val="22"/>
                <w:szCs w:val="22"/>
              </w:rPr>
            </w:pPr>
          </w:p>
          <w:p w14:paraId="2AD8F9AC" w14:textId="77777777" w:rsidR="003F4824" w:rsidRPr="00083277" w:rsidRDefault="003F4824" w:rsidP="00216FE1">
            <w:pPr>
              <w:rPr>
                <w:sz w:val="22"/>
                <w:szCs w:val="22"/>
              </w:rPr>
            </w:pPr>
          </w:p>
          <w:p w14:paraId="60EEFA33" w14:textId="77777777" w:rsidR="003F4824" w:rsidRPr="00083277" w:rsidRDefault="003F4824" w:rsidP="00216FE1">
            <w:pPr>
              <w:rPr>
                <w:sz w:val="22"/>
                <w:szCs w:val="22"/>
              </w:rPr>
            </w:pPr>
          </w:p>
          <w:p w14:paraId="4B0151A4" w14:textId="77777777" w:rsidR="003F4824" w:rsidRPr="00083277" w:rsidRDefault="003F4824" w:rsidP="00216FE1">
            <w:pPr>
              <w:rPr>
                <w:sz w:val="22"/>
                <w:szCs w:val="22"/>
              </w:rPr>
            </w:pPr>
          </w:p>
          <w:p w14:paraId="0CA5D5A0" w14:textId="77777777" w:rsidR="003F4824" w:rsidRPr="00083277" w:rsidRDefault="003F4824" w:rsidP="00216FE1">
            <w:pPr>
              <w:rPr>
                <w:sz w:val="22"/>
                <w:szCs w:val="22"/>
              </w:rPr>
            </w:pPr>
          </w:p>
          <w:p w14:paraId="510114D2" w14:textId="77777777" w:rsidR="003F4824" w:rsidRPr="00083277" w:rsidRDefault="003F4824" w:rsidP="00216FE1">
            <w:pPr>
              <w:rPr>
                <w:sz w:val="22"/>
                <w:szCs w:val="22"/>
              </w:rPr>
            </w:pPr>
          </w:p>
          <w:p w14:paraId="318890E2" w14:textId="77777777" w:rsidR="003F4824" w:rsidRPr="00083277" w:rsidRDefault="003F4824" w:rsidP="00216FE1">
            <w:pPr>
              <w:rPr>
                <w:sz w:val="22"/>
                <w:szCs w:val="22"/>
              </w:rPr>
            </w:pPr>
          </w:p>
          <w:p w14:paraId="5F2B0AB6" w14:textId="77777777" w:rsidR="003F4824" w:rsidRPr="00083277" w:rsidRDefault="003F4824" w:rsidP="00216FE1">
            <w:pPr>
              <w:rPr>
                <w:sz w:val="22"/>
                <w:szCs w:val="22"/>
              </w:rPr>
            </w:pPr>
          </w:p>
          <w:p w14:paraId="1146D571" w14:textId="77777777" w:rsidR="003F4824" w:rsidRPr="00083277" w:rsidRDefault="003F4824" w:rsidP="00216FE1">
            <w:pPr>
              <w:rPr>
                <w:sz w:val="22"/>
                <w:szCs w:val="22"/>
              </w:rPr>
            </w:pPr>
          </w:p>
          <w:p w14:paraId="6577040D" w14:textId="77777777" w:rsidR="003F4824" w:rsidRPr="00083277" w:rsidRDefault="003F4824" w:rsidP="00216FE1">
            <w:pPr>
              <w:rPr>
                <w:sz w:val="22"/>
                <w:szCs w:val="22"/>
              </w:rPr>
            </w:pPr>
          </w:p>
          <w:p w14:paraId="21E342D0" w14:textId="77777777" w:rsidR="003F4824" w:rsidRPr="00083277" w:rsidRDefault="003F4824" w:rsidP="00216FE1">
            <w:pPr>
              <w:rPr>
                <w:sz w:val="22"/>
                <w:szCs w:val="22"/>
              </w:rPr>
            </w:pPr>
          </w:p>
          <w:p w14:paraId="2686E21B" w14:textId="77777777" w:rsidR="003F4824" w:rsidRPr="00083277" w:rsidRDefault="003F4824" w:rsidP="00216FE1">
            <w:pPr>
              <w:rPr>
                <w:sz w:val="22"/>
                <w:szCs w:val="22"/>
              </w:rPr>
            </w:pPr>
          </w:p>
          <w:p w14:paraId="1F9CF6A9" w14:textId="77777777" w:rsidR="003F4824" w:rsidRPr="00083277" w:rsidRDefault="003F4824" w:rsidP="00216FE1">
            <w:pPr>
              <w:rPr>
                <w:sz w:val="22"/>
                <w:szCs w:val="22"/>
              </w:rPr>
            </w:pPr>
          </w:p>
          <w:p w14:paraId="63AF647E" w14:textId="77777777" w:rsidR="003F4824" w:rsidRPr="00083277" w:rsidRDefault="003F4824" w:rsidP="00216FE1">
            <w:pPr>
              <w:rPr>
                <w:sz w:val="22"/>
                <w:szCs w:val="22"/>
              </w:rPr>
            </w:pPr>
          </w:p>
          <w:p w14:paraId="5AAF3154" w14:textId="77777777" w:rsidR="003F4824" w:rsidRPr="00083277" w:rsidRDefault="003F4824" w:rsidP="00216FE1">
            <w:pPr>
              <w:rPr>
                <w:sz w:val="22"/>
                <w:szCs w:val="22"/>
              </w:rPr>
            </w:pPr>
          </w:p>
          <w:p w14:paraId="0E045184" w14:textId="77777777" w:rsidR="003F4824" w:rsidRPr="00083277" w:rsidRDefault="003F4824" w:rsidP="00216FE1">
            <w:pPr>
              <w:rPr>
                <w:sz w:val="22"/>
                <w:szCs w:val="22"/>
              </w:rPr>
            </w:pPr>
          </w:p>
          <w:p w14:paraId="56B7DAF1" w14:textId="77777777" w:rsidR="003F4824" w:rsidRPr="00083277" w:rsidRDefault="003F4824" w:rsidP="00216FE1">
            <w:pPr>
              <w:rPr>
                <w:sz w:val="22"/>
                <w:szCs w:val="22"/>
              </w:rPr>
            </w:pPr>
          </w:p>
          <w:p w14:paraId="66572CE9" w14:textId="77777777" w:rsidR="003F4824" w:rsidRPr="00083277" w:rsidRDefault="003F4824" w:rsidP="00216FE1">
            <w:pPr>
              <w:rPr>
                <w:sz w:val="22"/>
                <w:szCs w:val="22"/>
              </w:rPr>
            </w:pPr>
          </w:p>
          <w:p w14:paraId="3962CCEC" w14:textId="77777777" w:rsidR="003F4824" w:rsidRPr="00083277" w:rsidRDefault="003F4824" w:rsidP="00216FE1">
            <w:pPr>
              <w:rPr>
                <w:sz w:val="22"/>
                <w:szCs w:val="22"/>
              </w:rPr>
            </w:pPr>
          </w:p>
          <w:p w14:paraId="1E5C5141" w14:textId="77777777" w:rsidR="003F4824" w:rsidRPr="00083277" w:rsidRDefault="003F4824" w:rsidP="00216FE1">
            <w:pPr>
              <w:rPr>
                <w:sz w:val="22"/>
                <w:szCs w:val="22"/>
              </w:rPr>
            </w:pPr>
          </w:p>
          <w:p w14:paraId="56A5E415" w14:textId="77777777" w:rsidR="003F4824" w:rsidRPr="00083277" w:rsidRDefault="003F4824" w:rsidP="00216FE1">
            <w:pPr>
              <w:rPr>
                <w:sz w:val="22"/>
                <w:szCs w:val="22"/>
              </w:rPr>
            </w:pPr>
          </w:p>
          <w:p w14:paraId="352BDFAF" w14:textId="77777777" w:rsidR="003F4824" w:rsidRPr="00083277" w:rsidRDefault="003F4824" w:rsidP="00216FE1">
            <w:pPr>
              <w:rPr>
                <w:sz w:val="22"/>
                <w:szCs w:val="22"/>
              </w:rPr>
            </w:pPr>
          </w:p>
          <w:p w14:paraId="6F30FF2F" w14:textId="77777777" w:rsidR="003F4824" w:rsidRPr="00083277" w:rsidRDefault="003F4824" w:rsidP="00216FE1">
            <w:pPr>
              <w:rPr>
                <w:sz w:val="22"/>
                <w:szCs w:val="22"/>
              </w:rPr>
            </w:pPr>
          </w:p>
          <w:p w14:paraId="45BA9A45" w14:textId="77777777" w:rsidR="003F4824" w:rsidRPr="00083277" w:rsidRDefault="003F4824" w:rsidP="00216FE1">
            <w:pPr>
              <w:rPr>
                <w:sz w:val="22"/>
                <w:szCs w:val="22"/>
              </w:rPr>
            </w:pPr>
          </w:p>
          <w:p w14:paraId="22BD2DFF" w14:textId="77777777" w:rsidR="003F4824" w:rsidRPr="00083277" w:rsidRDefault="003F4824" w:rsidP="00216FE1">
            <w:pPr>
              <w:rPr>
                <w:sz w:val="22"/>
                <w:szCs w:val="22"/>
              </w:rPr>
            </w:pPr>
          </w:p>
          <w:p w14:paraId="4E9A5CD0" w14:textId="77777777" w:rsidR="003F4824" w:rsidRPr="00083277" w:rsidRDefault="003F4824" w:rsidP="00216FE1">
            <w:pPr>
              <w:rPr>
                <w:sz w:val="22"/>
                <w:szCs w:val="22"/>
              </w:rPr>
            </w:pPr>
          </w:p>
        </w:tc>
        <w:tc>
          <w:tcPr>
            <w:tcW w:w="5400" w:type="dxa"/>
          </w:tcPr>
          <w:p w14:paraId="12E774DA" w14:textId="392325D8" w:rsidR="003F4824" w:rsidRPr="00D471B8" w:rsidRDefault="003F4824" w:rsidP="00216FE1">
            <w:pPr>
              <w:ind w:firstLine="540"/>
              <w:jc w:val="both"/>
              <w:rPr>
                <w:sz w:val="20"/>
                <w:szCs w:val="20"/>
              </w:rPr>
            </w:pPr>
            <w:r w:rsidRPr="00D471B8">
              <w:rPr>
                <w:sz w:val="20"/>
                <w:szCs w:val="20"/>
              </w:rPr>
              <w:t xml:space="preserve">II. Инвестиционная декларация </w:t>
            </w:r>
          </w:p>
          <w:p w14:paraId="547A8824" w14:textId="76F0A6C4" w:rsidR="003F4824" w:rsidRPr="00D471B8" w:rsidRDefault="003F4824" w:rsidP="00216FE1">
            <w:pPr>
              <w:ind w:firstLine="540"/>
              <w:jc w:val="both"/>
              <w:rPr>
                <w:sz w:val="20"/>
                <w:szCs w:val="20"/>
              </w:rPr>
            </w:pPr>
            <w:r>
              <w:rPr>
                <w:sz w:val="20"/>
                <w:szCs w:val="20"/>
              </w:rPr>
              <w:t>2</w:t>
            </w:r>
            <w:r w:rsidRPr="0002131D">
              <w:rPr>
                <w:sz w:val="20"/>
                <w:szCs w:val="20"/>
              </w:rPr>
              <w:t>2</w:t>
            </w:r>
            <w:r w:rsidRPr="00D471B8">
              <w:rPr>
                <w:sz w:val="20"/>
                <w:szCs w:val="20"/>
              </w:rPr>
              <w:t>. Целью инвестиционной политики Управляющей компании является получение дохода от сдачи в аренду, приобретения и (или) отчуждения объектов недвижимого имущества и иных активов, преду</w:t>
            </w:r>
            <w:r w:rsidR="00121A19">
              <w:rPr>
                <w:sz w:val="20"/>
                <w:szCs w:val="20"/>
              </w:rPr>
              <w:t>смотренных настоящими Правилами.</w:t>
            </w:r>
          </w:p>
          <w:p w14:paraId="7BC5A8B6" w14:textId="050821EE" w:rsidR="003F4824" w:rsidRPr="00D471B8" w:rsidRDefault="003F4824" w:rsidP="00216FE1">
            <w:pPr>
              <w:ind w:firstLine="540"/>
              <w:jc w:val="both"/>
              <w:rPr>
                <w:sz w:val="20"/>
                <w:szCs w:val="20"/>
              </w:rPr>
            </w:pPr>
            <w:r>
              <w:rPr>
                <w:sz w:val="20"/>
                <w:szCs w:val="20"/>
              </w:rPr>
              <w:t xml:space="preserve"> 2</w:t>
            </w:r>
            <w:r w:rsidRPr="0002131D">
              <w:rPr>
                <w:sz w:val="20"/>
                <w:szCs w:val="20"/>
              </w:rPr>
              <w:t>3</w:t>
            </w:r>
            <w:r w:rsidRPr="00D471B8">
              <w:rPr>
                <w:sz w:val="20"/>
                <w:szCs w:val="20"/>
              </w:rPr>
              <w:t>. Инвестиционной политикой Управляющей компании является приобретение объектов недвижимого имущества с целью их последующей продажи и (или) с целью сдачи их в аренду, а также инвестирования свободных средств в объекты, предусмотренные пунктом 2</w:t>
            </w:r>
            <w:r>
              <w:rPr>
                <w:sz w:val="20"/>
                <w:szCs w:val="20"/>
              </w:rPr>
              <w:t>4</w:t>
            </w:r>
            <w:r w:rsidR="00DA41E0">
              <w:rPr>
                <w:sz w:val="20"/>
                <w:szCs w:val="20"/>
              </w:rPr>
              <w:t>.1</w:t>
            </w:r>
            <w:r w:rsidRPr="00D471B8">
              <w:rPr>
                <w:sz w:val="20"/>
                <w:szCs w:val="20"/>
              </w:rPr>
              <w:t xml:space="preserve">настоящих Правил. </w:t>
            </w:r>
          </w:p>
          <w:p w14:paraId="68E653F0" w14:textId="77777777" w:rsidR="003F4824" w:rsidRPr="00D471B8" w:rsidRDefault="003F4824" w:rsidP="00216FE1">
            <w:pPr>
              <w:ind w:firstLine="540"/>
              <w:jc w:val="both"/>
              <w:rPr>
                <w:sz w:val="20"/>
                <w:szCs w:val="20"/>
              </w:rPr>
            </w:pPr>
            <w:r>
              <w:rPr>
                <w:sz w:val="20"/>
                <w:szCs w:val="20"/>
              </w:rPr>
              <w:t>24</w:t>
            </w:r>
            <w:r w:rsidRPr="00D471B8">
              <w:rPr>
                <w:sz w:val="20"/>
                <w:szCs w:val="20"/>
              </w:rPr>
              <w:t xml:space="preserve">. Перечень объектов инвестирования, их состав и описание. </w:t>
            </w:r>
          </w:p>
          <w:p w14:paraId="672F07E9" w14:textId="77777777" w:rsidR="003F4824" w:rsidRPr="00D471B8" w:rsidRDefault="003F4824" w:rsidP="00216FE1">
            <w:pPr>
              <w:ind w:firstLine="540"/>
              <w:jc w:val="both"/>
              <w:rPr>
                <w:sz w:val="20"/>
                <w:szCs w:val="20"/>
              </w:rPr>
            </w:pPr>
            <w:r>
              <w:rPr>
                <w:sz w:val="20"/>
                <w:szCs w:val="20"/>
              </w:rPr>
              <w:t>24</w:t>
            </w:r>
            <w:r w:rsidRPr="00D471B8">
              <w:rPr>
                <w:sz w:val="20"/>
                <w:szCs w:val="20"/>
              </w:rPr>
              <w:t xml:space="preserve">.1.  Имущество, составляющее Фонд, может быть инвестировано в: </w:t>
            </w:r>
          </w:p>
          <w:p w14:paraId="124F5ACD" w14:textId="3D32C91B" w:rsidR="003F4824" w:rsidRDefault="003F4824" w:rsidP="00216FE1">
            <w:pPr>
              <w:ind w:firstLine="540"/>
              <w:jc w:val="both"/>
              <w:rPr>
                <w:sz w:val="20"/>
                <w:szCs w:val="20"/>
              </w:rPr>
            </w:pPr>
            <w:r>
              <w:rPr>
                <w:sz w:val="20"/>
                <w:szCs w:val="20"/>
              </w:rPr>
              <w:t>24</w:t>
            </w:r>
            <w:r w:rsidRPr="00D471B8">
              <w:rPr>
                <w:sz w:val="20"/>
                <w:szCs w:val="20"/>
              </w:rPr>
              <w:t>.1.1. Следующее недвижимое имущество:</w:t>
            </w:r>
          </w:p>
          <w:p w14:paraId="6059ED1E" w14:textId="081D8B63" w:rsidR="001D293F" w:rsidRPr="00D471B8" w:rsidRDefault="001D293F" w:rsidP="00216FE1">
            <w:pPr>
              <w:ind w:firstLine="540"/>
              <w:jc w:val="both"/>
              <w:rPr>
                <w:sz w:val="20"/>
                <w:szCs w:val="20"/>
              </w:rPr>
            </w:pPr>
            <w:r w:rsidRPr="00265E75">
              <w:rPr>
                <w:sz w:val="20"/>
                <w:szCs w:val="20"/>
              </w:rPr>
              <w:t>Объекты недвижимого имущества, указанные в настоящем пункте, приобретаются для целей их последующей сдачи в аренду и (или) продажи и могут иметь следующее назначение: административное, офисное, торговое, складское, производственное, а также иное нежилое назначение, соответствующее требованиям Указания Банка России № 4129-У</w:t>
            </w:r>
          </w:p>
          <w:p w14:paraId="095B2632" w14:textId="77777777" w:rsidR="003F4824" w:rsidRDefault="003F4824" w:rsidP="00216FE1">
            <w:pPr>
              <w:ind w:firstLine="540"/>
              <w:jc w:val="both"/>
              <w:rPr>
                <w:sz w:val="20"/>
                <w:szCs w:val="20"/>
              </w:rPr>
            </w:pPr>
            <w:r w:rsidRPr="00D471B8">
              <w:rPr>
                <w:sz w:val="20"/>
                <w:szCs w:val="20"/>
              </w:rPr>
              <w:t>- нежилые здания, введенные в эксплуатацию в установленном порядке и соответствующие требованиям Указания Банка России № 4129-У «О составе и структуре активов акционерных инвестиционных фондов и активов паевых инвестиционных фондов», в том числе находящиеся в общей собственности с определением доли Управляющей компании в праве собственности;</w:t>
            </w:r>
          </w:p>
          <w:p w14:paraId="08D4F6BA" w14:textId="77777777" w:rsidR="003F4824" w:rsidRPr="00D471B8" w:rsidRDefault="003F4824" w:rsidP="00216FE1">
            <w:pPr>
              <w:ind w:firstLine="540"/>
              <w:jc w:val="both"/>
              <w:rPr>
                <w:sz w:val="20"/>
                <w:szCs w:val="20"/>
              </w:rPr>
            </w:pPr>
            <w:r>
              <w:rPr>
                <w:sz w:val="20"/>
                <w:szCs w:val="20"/>
              </w:rPr>
              <w:t xml:space="preserve">- </w:t>
            </w:r>
            <w:r w:rsidRPr="00D471B8">
              <w:rPr>
                <w:sz w:val="20"/>
                <w:szCs w:val="20"/>
              </w:rPr>
              <w:t xml:space="preserve">помещения в нежилых зданиях, в том числе находящиеся в общей собственности с определением доли Управляющей компании в праве собственности; </w:t>
            </w:r>
          </w:p>
          <w:p w14:paraId="6D09F7A3" w14:textId="77777777" w:rsidR="003F4824" w:rsidRPr="00D471B8" w:rsidRDefault="003F4824" w:rsidP="00216FE1">
            <w:pPr>
              <w:ind w:firstLine="540"/>
              <w:jc w:val="both"/>
              <w:rPr>
                <w:sz w:val="20"/>
                <w:szCs w:val="20"/>
              </w:rPr>
            </w:pPr>
            <w:r w:rsidRPr="00D471B8">
              <w:rPr>
                <w:sz w:val="20"/>
                <w:szCs w:val="20"/>
              </w:rPr>
              <w:lastRenderedPageBreak/>
              <w:t xml:space="preserve">- единые недвижимые комплексы, в случае если в их состав входит только недвижимое имущество, разрешенное для включения в состав активов Фонда в соответствии с настоящим пунктом; </w:t>
            </w:r>
          </w:p>
          <w:p w14:paraId="326E1FA7" w14:textId="77777777" w:rsidR="003F4824" w:rsidRPr="00D471B8" w:rsidRDefault="003F4824" w:rsidP="00216FE1">
            <w:pPr>
              <w:ind w:firstLine="540"/>
              <w:jc w:val="both"/>
              <w:rPr>
                <w:sz w:val="20"/>
                <w:szCs w:val="20"/>
              </w:rPr>
            </w:pPr>
            <w:r w:rsidRPr="00D471B8">
              <w:rPr>
                <w:sz w:val="20"/>
                <w:szCs w:val="20"/>
              </w:rPr>
              <w:t xml:space="preserve">- сооружения инженерной инфраструктуры, предназначенные исключительно для обслуживания и (или) эксплуатации недвижимого имущества, составляющего Фонд или приобретаемых в состав активов Фонда на основании заключенных договоров; </w:t>
            </w:r>
          </w:p>
          <w:p w14:paraId="45C111D3" w14:textId="77777777" w:rsidR="003F4824" w:rsidRPr="00D471B8" w:rsidRDefault="003F4824" w:rsidP="00216FE1">
            <w:pPr>
              <w:ind w:firstLine="540"/>
              <w:jc w:val="both"/>
              <w:rPr>
                <w:sz w:val="20"/>
                <w:szCs w:val="20"/>
              </w:rPr>
            </w:pPr>
            <w:r w:rsidRPr="00D471B8">
              <w:rPr>
                <w:sz w:val="20"/>
                <w:szCs w:val="20"/>
              </w:rPr>
              <w:t xml:space="preserve">- земельные участки, на которых расположено недвижимое имущество, составляющее Фонд, в том числе находящиеся в общей собственности с определением доли Управляющей компании в праве собственности; </w:t>
            </w:r>
          </w:p>
          <w:p w14:paraId="1AD5A26C" w14:textId="77777777" w:rsidR="003F4824" w:rsidRPr="00D471B8" w:rsidRDefault="003F4824" w:rsidP="00216FE1">
            <w:pPr>
              <w:ind w:firstLine="540"/>
              <w:jc w:val="both"/>
              <w:rPr>
                <w:sz w:val="20"/>
                <w:szCs w:val="20"/>
              </w:rPr>
            </w:pPr>
            <w:r w:rsidRPr="00D471B8">
              <w:rPr>
                <w:sz w:val="20"/>
                <w:szCs w:val="20"/>
              </w:rPr>
              <w:t xml:space="preserve">- права аренды земельного участка, на котором расположено недвижимое имущество, составляющее Фонд; </w:t>
            </w:r>
          </w:p>
          <w:p w14:paraId="10C4C9C0" w14:textId="77777777" w:rsidR="003F4824" w:rsidRPr="00D471B8" w:rsidRDefault="003F4824" w:rsidP="00216FE1">
            <w:pPr>
              <w:ind w:firstLine="540"/>
              <w:jc w:val="both"/>
              <w:rPr>
                <w:sz w:val="20"/>
                <w:szCs w:val="20"/>
              </w:rPr>
            </w:pPr>
            <w:r w:rsidRPr="00D471B8">
              <w:rPr>
                <w:sz w:val="20"/>
                <w:szCs w:val="20"/>
              </w:rPr>
              <w:t xml:space="preserve">-земельные участки, которые имеют общую границу (смежные земельные участки) с земельными участками, на которых расположено недвижимое имущество, составляющее Фонд, и которые (права аренды которых) входят в состав Фонда, при условии, что на таких смежных земельных участках размещено дорожное полотно (дорожное покрытие) для стоянки (парковки) транспортных средств и (или) проезда транспортных средств к указанным земельным участкам, на которых расположено недвижимое имущество, составляющее Фонд, и (или) на таких смежных земельных участках размещены инженерное оборудование и (или) сети инженерно-технического обеспечения, предназначенные исключительно для обслуживания и (или) эксплуатации недвижимого имущества, составляющего Фонд, в том числе находящиеся в общей собственности с определением доли управляющей компании Фонда в праве собственности, а также права аренды на такие смежные земельные участки. </w:t>
            </w:r>
          </w:p>
          <w:p w14:paraId="687C8D49" w14:textId="439EA1FB" w:rsidR="003F4824" w:rsidRPr="00D471B8" w:rsidRDefault="003F4824" w:rsidP="00216FE1">
            <w:pPr>
              <w:ind w:firstLine="540"/>
              <w:jc w:val="both"/>
              <w:rPr>
                <w:sz w:val="20"/>
                <w:szCs w:val="20"/>
              </w:rPr>
            </w:pPr>
            <w:r>
              <w:rPr>
                <w:sz w:val="20"/>
                <w:szCs w:val="20"/>
              </w:rPr>
              <w:t>24</w:t>
            </w:r>
            <w:r w:rsidRPr="00D471B8">
              <w:rPr>
                <w:sz w:val="20"/>
                <w:szCs w:val="20"/>
              </w:rPr>
              <w:t xml:space="preserve">.1.2. Инструменты денежного рынка, под которыми понимаются денежные средства в рублях и в иностранной валюте на счетах и во вкладах (депозитах) в российских кредитных организациях, </w:t>
            </w:r>
            <w:r w:rsidR="00643976" w:rsidRPr="00265E75">
              <w:rPr>
                <w:sz w:val="20"/>
                <w:szCs w:val="20"/>
              </w:rPr>
              <w:t>государственные ценные бумаги Российской Федерации, обязанным лицом по которым является Российская Федерация</w:t>
            </w:r>
          </w:p>
          <w:p w14:paraId="0D450EC0" w14:textId="77777777" w:rsidR="003F4824" w:rsidRPr="00D471B8" w:rsidRDefault="003F4824" w:rsidP="00216FE1">
            <w:pPr>
              <w:ind w:firstLine="540"/>
              <w:jc w:val="both"/>
              <w:rPr>
                <w:sz w:val="20"/>
                <w:szCs w:val="20"/>
              </w:rPr>
            </w:pPr>
            <w:r>
              <w:rPr>
                <w:sz w:val="20"/>
                <w:szCs w:val="20"/>
              </w:rPr>
              <w:t>24</w:t>
            </w:r>
            <w:r w:rsidRPr="00D471B8">
              <w:rPr>
                <w:sz w:val="20"/>
                <w:szCs w:val="20"/>
              </w:rPr>
              <w:t>.1.3. Права требования из договоров, заключенных для целей доверительного управления в отношени</w:t>
            </w:r>
            <w:r>
              <w:rPr>
                <w:sz w:val="20"/>
                <w:szCs w:val="20"/>
              </w:rPr>
              <w:t>и активов, указанных в пункте 24</w:t>
            </w:r>
            <w:r w:rsidRPr="00D471B8">
              <w:rPr>
                <w:sz w:val="20"/>
                <w:szCs w:val="20"/>
              </w:rPr>
              <w:t xml:space="preserve">.1. настоящих Правил. </w:t>
            </w:r>
          </w:p>
          <w:p w14:paraId="2D539E70" w14:textId="77777777" w:rsidR="003F4824" w:rsidRPr="00D471B8" w:rsidRDefault="003F4824" w:rsidP="00216FE1">
            <w:pPr>
              <w:ind w:firstLine="540"/>
              <w:jc w:val="both"/>
              <w:rPr>
                <w:sz w:val="20"/>
                <w:szCs w:val="20"/>
              </w:rPr>
            </w:pPr>
            <w:r>
              <w:rPr>
                <w:sz w:val="20"/>
                <w:szCs w:val="20"/>
              </w:rPr>
              <w:lastRenderedPageBreak/>
              <w:t>24</w:t>
            </w:r>
            <w:r w:rsidRPr="00D471B8">
              <w:rPr>
                <w:sz w:val="20"/>
                <w:szCs w:val="20"/>
              </w:rPr>
              <w:t xml:space="preserve">.1.4. Иные активы, включаемые в состав активов Фонда в связи с оплатой расходов, связанных с доверительным управлением имуществом, составляющим Фонд. </w:t>
            </w:r>
          </w:p>
          <w:p w14:paraId="7BF1FB7C" w14:textId="77777777" w:rsidR="003F4824" w:rsidRPr="00D471B8" w:rsidRDefault="003F4824" w:rsidP="00216FE1">
            <w:pPr>
              <w:ind w:firstLine="540"/>
              <w:jc w:val="both"/>
              <w:rPr>
                <w:sz w:val="20"/>
                <w:szCs w:val="20"/>
              </w:rPr>
            </w:pPr>
            <w:r>
              <w:rPr>
                <w:sz w:val="20"/>
                <w:szCs w:val="20"/>
              </w:rPr>
              <w:t>24</w:t>
            </w:r>
            <w:r w:rsidRPr="00D471B8">
              <w:rPr>
                <w:sz w:val="20"/>
                <w:szCs w:val="20"/>
              </w:rPr>
              <w:t xml:space="preserve">.2. Объекты недвижимого имущества, в которые (права аренды на которые) инвестируется имущество, составляющее Фонд, располагаются на территории города Москвы. </w:t>
            </w:r>
          </w:p>
          <w:p w14:paraId="0D49CB39" w14:textId="77777777" w:rsidR="003F4824" w:rsidRPr="00D471B8" w:rsidRDefault="003F4824" w:rsidP="00216FE1">
            <w:pPr>
              <w:ind w:firstLine="540"/>
              <w:jc w:val="both"/>
              <w:rPr>
                <w:sz w:val="20"/>
                <w:szCs w:val="20"/>
              </w:rPr>
            </w:pPr>
            <w:r>
              <w:rPr>
                <w:sz w:val="20"/>
                <w:szCs w:val="20"/>
              </w:rPr>
              <w:t>24</w:t>
            </w:r>
            <w:r w:rsidRPr="00D471B8">
              <w:rPr>
                <w:sz w:val="20"/>
                <w:szCs w:val="20"/>
              </w:rPr>
              <w:t xml:space="preserve">.3. Земельными участками, в которые (в права аренды на которые) может быть инвестировано имущество, составляющее Фонд, могут являться земельные участки следующих категорий: земли, разрешенный вид использования которых допускает осуществление на них строительства, земли населенных пунктов, земли промышленности, энергетики, транспорта, связи, радиовещания, телевидения, информатики, за исключением земельных участков, изъятых из оборота или ограниченных в обороте в соответствии с законодательством Российской Федерации. </w:t>
            </w:r>
          </w:p>
          <w:p w14:paraId="6305F0E5" w14:textId="777B5C21" w:rsidR="003F4824" w:rsidRPr="00D471B8" w:rsidRDefault="003F4824" w:rsidP="00216FE1">
            <w:pPr>
              <w:ind w:firstLine="540"/>
              <w:jc w:val="both"/>
              <w:rPr>
                <w:sz w:val="20"/>
                <w:szCs w:val="20"/>
              </w:rPr>
            </w:pPr>
            <w:r>
              <w:rPr>
                <w:sz w:val="20"/>
                <w:szCs w:val="20"/>
              </w:rPr>
              <w:t>24</w:t>
            </w:r>
            <w:r w:rsidRPr="00D471B8">
              <w:rPr>
                <w:sz w:val="20"/>
                <w:szCs w:val="20"/>
              </w:rPr>
              <w:t>.4. Активы, предус</w:t>
            </w:r>
            <w:r>
              <w:rPr>
                <w:sz w:val="20"/>
                <w:szCs w:val="20"/>
              </w:rPr>
              <w:t xml:space="preserve">мотренные абзацами </w:t>
            </w:r>
            <w:r w:rsidR="001D0325">
              <w:rPr>
                <w:sz w:val="20"/>
                <w:szCs w:val="20"/>
              </w:rPr>
              <w:t>3</w:t>
            </w:r>
            <w:r>
              <w:rPr>
                <w:sz w:val="20"/>
                <w:szCs w:val="20"/>
              </w:rPr>
              <w:t>-</w:t>
            </w:r>
            <w:r w:rsidR="001D0325">
              <w:rPr>
                <w:sz w:val="20"/>
                <w:szCs w:val="20"/>
              </w:rPr>
              <w:t>5</w:t>
            </w:r>
            <w:r>
              <w:rPr>
                <w:sz w:val="20"/>
                <w:szCs w:val="20"/>
              </w:rPr>
              <w:t xml:space="preserve"> пункта 24</w:t>
            </w:r>
            <w:r w:rsidRPr="00D471B8">
              <w:rPr>
                <w:sz w:val="20"/>
                <w:szCs w:val="20"/>
              </w:rPr>
              <w:t xml:space="preserve">.1.1. настоящих Правил, могут входить в состав активов Фонда только при одновременном соблюдении следующих условий: </w:t>
            </w:r>
          </w:p>
          <w:p w14:paraId="75F75AF4" w14:textId="77777777" w:rsidR="003F4824" w:rsidRPr="00D471B8" w:rsidRDefault="003F4824" w:rsidP="00216FE1">
            <w:pPr>
              <w:ind w:firstLine="540"/>
              <w:jc w:val="both"/>
              <w:rPr>
                <w:sz w:val="20"/>
                <w:szCs w:val="20"/>
              </w:rPr>
            </w:pPr>
            <w:r w:rsidRPr="00D471B8">
              <w:rPr>
                <w:sz w:val="20"/>
                <w:szCs w:val="20"/>
              </w:rPr>
              <w:t>2</w:t>
            </w:r>
            <w:r>
              <w:rPr>
                <w:sz w:val="20"/>
                <w:szCs w:val="20"/>
              </w:rPr>
              <w:t>4</w:t>
            </w:r>
            <w:r w:rsidRPr="00D471B8">
              <w:rPr>
                <w:sz w:val="20"/>
                <w:szCs w:val="20"/>
              </w:rPr>
              <w:t xml:space="preserve">.4.1. за предыдущий календарный год средняя доля фактически сданной в аренду полезной площади здания, помещения, единого недвижимого комплекса (площадь помещений, непосредственно предназначенных для использования собственниками или арендаторами здания или помещения при осуществлении ими деятельности и не относящихся к помещениям общего пользования, как то: общие входные помещения, общие коридоры, лифтовые холлы и шахты, туалетные комнаты, лестницы, лестничные холлы, переходы, внутренние открытые лестницы и пандусы, наружные балконы и портики, подвалы, чердаки, технические этажи, парковки, площадки, места (помещения) размещения инженерно-технологического оборудования, обслуживающего здание либо его часть, контрольно-пропускные пункты, помещения для обслуживающего персонала) от общего размера полезной площади здания, помещения, единого недвижимого комплекса составляет не менее 40 процентов полезной площади здания, помещения, единого недвижимого комплекса; </w:t>
            </w:r>
          </w:p>
          <w:p w14:paraId="2D6933B5" w14:textId="77777777" w:rsidR="003F4824" w:rsidRDefault="003F4824" w:rsidP="00216FE1">
            <w:pPr>
              <w:ind w:firstLine="540"/>
              <w:jc w:val="both"/>
              <w:rPr>
                <w:sz w:val="20"/>
                <w:szCs w:val="20"/>
              </w:rPr>
            </w:pPr>
            <w:r>
              <w:rPr>
                <w:sz w:val="20"/>
                <w:szCs w:val="20"/>
              </w:rPr>
              <w:t>24</w:t>
            </w:r>
            <w:r w:rsidRPr="00D471B8">
              <w:rPr>
                <w:sz w:val="20"/>
                <w:szCs w:val="20"/>
              </w:rPr>
              <w:t>.4.2. для целей определения стоимости чистых активов Фонда договор о проведении оценки такого объекта недвижимости заключен с юридическим лицом, которое на дату оценки заключало договоры на проведение оценки объектов недвижимости ежегодно в течение последних календарных 10 лет и выручка которого за последний отчетный год от договоров на проведение оценки объектов недвижимости составляет н</w:t>
            </w:r>
            <w:r>
              <w:rPr>
                <w:sz w:val="20"/>
                <w:szCs w:val="20"/>
              </w:rPr>
              <w:t xml:space="preserve">е менее 100 миллионов рублей. </w:t>
            </w:r>
          </w:p>
          <w:p w14:paraId="37F18457" w14:textId="1EF94A3F" w:rsidR="003F4824" w:rsidRPr="00D471B8" w:rsidRDefault="003F4824" w:rsidP="00216FE1">
            <w:pPr>
              <w:ind w:firstLine="540"/>
              <w:jc w:val="both"/>
              <w:rPr>
                <w:sz w:val="20"/>
                <w:szCs w:val="20"/>
              </w:rPr>
            </w:pPr>
            <w:r>
              <w:rPr>
                <w:sz w:val="20"/>
                <w:szCs w:val="20"/>
              </w:rPr>
              <w:t>24.5. Требования пункта 24</w:t>
            </w:r>
            <w:r w:rsidRPr="00D471B8">
              <w:rPr>
                <w:sz w:val="20"/>
                <w:szCs w:val="20"/>
              </w:rPr>
              <w:t>.4.1. настоящих Правил не распространяются на активы, предусмо</w:t>
            </w:r>
            <w:r>
              <w:rPr>
                <w:sz w:val="20"/>
                <w:szCs w:val="20"/>
              </w:rPr>
              <w:t xml:space="preserve">тренные абзацами </w:t>
            </w:r>
            <w:r w:rsidR="00AC6CA4">
              <w:rPr>
                <w:sz w:val="20"/>
                <w:szCs w:val="20"/>
              </w:rPr>
              <w:t>3</w:t>
            </w:r>
            <w:r>
              <w:rPr>
                <w:sz w:val="20"/>
                <w:szCs w:val="20"/>
              </w:rPr>
              <w:t xml:space="preserve"> и </w:t>
            </w:r>
            <w:r w:rsidR="00AC6CA4">
              <w:rPr>
                <w:sz w:val="20"/>
                <w:szCs w:val="20"/>
              </w:rPr>
              <w:t>4</w:t>
            </w:r>
            <w:r>
              <w:rPr>
                <w:sz w:val="20"/>
                <w:szCs w:val="20"/>
              </w:rPr>
              <w:t xml:space="preserve"> пункта 24</w:t>
            </w:r>
            <w:r w:rsidRPr="00D471B8">
              <w:rPr>
                <w:sz w:val="20"/>
                <w:szCs w:val="20"/>
              </w:rPr>
              <w:t xml:space="preserve">.1.1. настоящих Правил, при одновременном соблюдении следующих условий: </w:t>
            </w:r>
          </w:p>
          <w:p w14:paraId="476ED26D" w14:textId="77777777" w:rsidR="003F4824" w:rsidRPr="00D471B8" w:rsidRDefault="003F4824" w:rsidP="00216FE1">
            <w:pPr>
              <w:ind w:firstLine="540"/>
              <w:jc w:val="both"/>
              <w:rPr>
                <w:sz w:val="20"/>
                <w:szCs w:val="20"/>
              </w:rPr>
            </w:pPr>
            <w:r>
              <w:rPr>
                <w:sz w:val="20"/>
                <w:szCs w:val="20"/>
              </w:rPr>
              <w:t>24</w:t>
            </w:r>
            <w:r w:rsidRPr="00D471B8">
              <w:rPr>
                <w:sz w:val="20"/>
                <w:szCs w:val="20"/>
              </w:rPr>
              <w:t xml:space="preserve">.5.1. здание (здание, в котором находится помещение) введено в эксплуатацию не ранее двух лет до даты включения здания (помещения) в состав Фонда; </w:t>
            </w:r>
          </w:p>
          <w:p w14:paraId="018B6AC1" w14:textId="77777777" w:rsidR="003F4824" w:rsidRPr="00D471B8" w:rsidRDefault="003F4824" w:rsidP="00216FE1">
            <w:pPr>
              <w:ind w:firstLine="540"/>
              <w:jc w:val="both"/>
              <w:rPr>
                <w:sz w:val="20"/>
                <w:szCs w:val="20"/>
              </w:rPr>
            </w:pPr>
            <w:r>
              <w:rPr>
                <w:sz w:val="20"/>
                <w:szCs w:val="20"/>
              </w:rPr>
              <w:t>24</w:t>
            </w:r>
            <w:r w:rsidRPr="00D471B8">
              <w:rPr>
                <w:sz w:val="20"/>
                <w:szCs w:val="20"/>
              </w:rPr>
              <w:t>.5.2. отчет об оценке здания (помещения), составленный для целей определения стоимости чистых активов Фонда не ранее шести месяцев до даты включения здания (помещения) в состав Фонда, содержит в соответствии с федеральными стандартами оценки, предусмотренными статьей 20 Федерального закона от 29 июля 1998 года № 135-ФЗ «Об оценочной деятельности в Российской Федерации», указание на расчетную денежную сумму, за которую здание (помещение) может быть сдано в аренду на дату оценки при типичных рыночных условиях (далее - рыночная арендная плата);</w:t>
            </w:r>
          </w:p>
          <w:p w14:paraId="5C8B28B5" w14:textId="77777777" w:rsidR="003F4824" w:rsidRPr="00D471B8" w:rsidRDefault="003F4824" w:rsidP="00216FE1">
            <w:pPr>
              <w:ind w:firstLine="540"/>
              <w:jc w:val="both"/>
              <w:rPr>
                <w:sz w:val="20"/>
                <w:szCs w:val="20"/>
              </w:rPr>
            </w:pPr>
            <w:r>
              <w:rPr>
                <w:sz w:val="20"/>
                <w:szCs w:val="20"/>
              </w:rPr>
              <w:t xml:space="preserve"> 24</w:t>
            </w:r>
            <w:r w:rsidRPr="00D471B8">
              <w:rPr>
                <w:sz w:val="20"/>
                <w:szCs w:val="20"/>
              </w:rPr>
              <w:t xml:space="preserve">.5.3. не менее 80 процентов полезной площади здания (помещения), сдано в аренду на срок не менее двух лет; </w:t>
            </w:r>
          </w:p>
          <w:p w14:paraId="61A5833E" w14:textId="77777777" w:rsidR="003F4824" w:rsidRPr="00D471B8" w:rsidRDefault="003F4824" w:rsidP="00216FE1">
            <w:pPr>
              <w:ind w:firstLine="540"/>
              <w:jc w:val="both"/>
              <w:rPr>
                <w:sz w:val="20"/>
                <w:szCs w:val="20"/>
              </w:rPr>
            </w:pPr>
            <w:r>
              <w:rPr>
                <w:sz w:val="20"/>
                <w:szCs w:val="20"/>
              </w:rPr>
              <w:t>24</w:t>
            </w:r>
            <w:r w:rsidRPr="00D471B8">
              <w:rPr>
                <w:sz w:val="20"/>
                <w:szCs w:val="20"/>
              </w:rPr>
              <w:t>.5.4. арендная плата за пользование и</w:t>
            </w:r>
            <w:r>
              <w:rPr>
                <w:sz w:val="20"/>
                <w:szCs w:val="20"/>
              </w:rPr>
              <w:t>муществом, указанным в пункте 24</w:t>
            </w:r>
            <w:r w:rsidRPr="00D471B8">
              <w:rPr>
                <w:sz w:val="20"/>
                <w:szCs w:val="20"/>
              </w:rPr>
              <w:t>.5.3. настоящих Правил, составляет в совокупности не менее 80 процентов рыночной арендной платы, указанной в отчете об оценке здания (помеще</w:t>
            </w:r>
            <w:r>
              <w:rPr>
                <w:sz w:val="20"/>
                <w:szCs w:val="20"/>
              </w:rPr>
              <w:t>ния), предусмотренном пунктом 24</w:t>
            </w:r>
            <w:r w:rsidRPr="00D471B8">
              <w:rPr>
                <w:sz w:val="20"/>
                <w:szCs w:val="20"/>
              </w:rPr>
              <w:t>.5.2. настоящих Правил</w:t>
            </w:r>
          </w:p>
          <w:p w14:paraId="25A8BE83" w14:textId="77777777" w:rsidR="003F4824" w:rsidRPr="00D471B8" w:rsidRDefault="003F4824" w:rsidP="00216FE1">
            <w:pPr>
              <w:ind w:firstLine="540"/>
              <w:jc w:val="both"/>
              <w:rPr>
                <w:sz w:val="20"/>
                <w:szCs w:val="20"/>
              </w:rPr>
            </w:pPr>
            <w:r>
              <w:rPr>
                <w:sz w:val="20"/>
                <w:szCs w:val="20"/>
              </w:rPr>
              <w:t>24</w:t>
            </w:r>
            <w:r w:rsidRPr="00D471B8">
              <w:rPr>
                <w:sz w:val="20"/>
                <w:szCs w:val="20"/>
              </w:rPr>
              <w:t>.5.5. договор аренды и</w:t>
            </w:r>
            <w:r>
              <w:rPr>
                <w:sz w:val="20"/>
                <w:szCs w:val="20"/>
              </w:rPr>
              <w:t>мущества, указанного в пункте 24</w:t>
            </w:r>
            <w:r w:rsidRPr="00D471B8">
              <w:rPr>
                <w:sz w:val="20"/>
                <w:szCs w:val="20"/>
              </w:rPr>
              <w:t xml:space="preserve">.5.3. настоящих Правил, не предусматривает право арендатора требовать досрочного расторжения такого договора в течение двух лет с даты его заключения (за исключением случаев, предусмотренных статьей 620 Гражданского кодекса Российской Федерации) или предусматривает обязанность арендатора уплатить арендодателю в случае расторжения такого договора до истечения двух лет с даты его заключения денежную сумму, равную разнице между размером арендной платы за два года и размером уплаченной арендатором арендной платы; </w:t>
            </w:r>
          </w:p>
          <w:p w14:paraId="55A16B06" w14:textId="79224032" w:rsidR="003F4824" w:rsidRPr="00D471B8" w:rsidRDefault="003F4824" w:rsidP="00216FE1">
            <w:pPr>
              <w:ind w:firstLine="540"/>
              <w:jc w:val="both"/>
              <w:rPr>
                <w:sz w:val="20"/>
                <w:szCs w:val="20"/>
              </w:rPr>
            </w:pPr>
            <w:r>
              <w:rPr>
                <w:sz w:val="20"/>
                <w:szCs w:val="20"/>
              </w:rPr>
              <w:t>24</w:t>
            </w:r>
            <w:r w:rsidRPr="00D471B8">
              <w:rPr>
                <w:sz w:val="20"/>
                <w:szCs w:val="20"/>
              </w:rPr>
              <w:t xml:space="preserve">.5.6. </w:t>
            </w:r>
            <w:r w:rsidR="00506F00">
              <w:rPr>
                <w:sz w:val="20"/>
                <w:szCs w:val="20"/>
              </w:rPr>
              <w:t>И</w:t>
            </w:r>
            <w:r w:rsidRPr="00D471B8">
              <w:rPr>
                <w:sz w:val="20"/>
                <w:szCs w:val="20"/>
              </w:rPr>
              <w:t>сполнение арендатором обязательств по договору аренды имущества, у</w:t>
            </w:r>
            <w:r>
              <w:rPr>
                <w:sz w:val="20"/>
                <w:szCs w:val="20"/>
              </w:rPr>
              <w:t>казанного в пункте 24</w:t>
            </w:r>
            <w:r w:rsidRPr="00D471B8">
              <w:rPr>
                <w:sz w:val="20"/>
                <w:szCs w:val="20"/>
              </w:rPr>
              <w:t xml:space="preserve">.5.3. настоящих Правил, обеспечено внесением обеспечительного платежа или банковской гарантией на сумму не менее установленного таким договором размера арендной платы за два месяца.  </w:t>
            </w:r>
          </w:p>
          <w:p w14:paraId="2C93B14D" w14:textId="77777777" w:rsidR="003F4824" w:rsidRPr="00D471B8" w:rsidRDefault="003F4824" w:rsidP="00216FE1">
            <w:pPr>
              <w:ind w:firstLine="540"/>
              <w:jc w:val="both"/>
              <w:rPr>
                <w:sz w:val="20"/>
                <w:szCs w:val="20"/>
              </w:rPr>
            </w:pPr>
            <w:r>
              <w:rPr>
                <w:sz w:val="20"/>
                <w:szCs w:val="20"/>
              </w:rPr>
              <w:t>24.5.7. Требования пункта 24</w:t>
            </w:r>
            <w:r w:rsidRPr="00D471B8">
              <w:rPr>
                <w:sz w:val="20"/>
                <w:szCs w:val="20"/>
              </w:rPr>
              <w:t xml:space="preserve">.5.5. настоящих Правил не распространяются на договор аренды, предусматривающий право арендатора, выручка которого по данным бухгалтерской (финансовой) отчетности за последний завершенный отчетный период, определяемый в соответствии с частью 1 статьи 15 Федерального закона от 6 декабря 2011 года № 402-ФЗ «О бухгалтерском учете», составляет более 1 миллиарда рублей, отказаться от договора (исполнения договора) аренды во внесудебном порядке в течение двух лет с даты его заключения исключительно по основаниям, предусмотренным пунктами 1 - 4 статьи 620 Гражданского кодекса Российской Федерации. </w:t>
            </w:r>
          </w:p>
          <w:p w14:paraId="3905B4EF" w14:textId="5CA20EFA" w:rsidR="003F4824" w:rsidRPr="00D471B8" w:rsidRDefault="003F4824" w:rsidP="00216FE1">
            <w:pPr>
              <w:ind w:firstLine="540"/>
              <w:jc w:val="both"/>
              <w:rPr>
                <w:sz w:val="20"/>
                <w:szCs w:val="20"/>
              </w:rPr>
            </w:pPr>
            <w:r>
              <w:rPr>
                <w:sz w:val="20"/>
                <w:szCs w:val="20"/>
              </w:rPr>
              <w:t>24</w:t>
            </w:r>
            <w:r w:rsidRPr="00D471B8">
              <w:rPr>
                <w:sz w:val="20"/>
                <w:szCs w:val="20"/>
              </w:rPr>
              <w:t>.5.8. Совокупная площадь смежных земельных участков, пре</w:t>
            </w:r>
            <w:r>
              <w:rPr>
                <w:sz w:val="20"/>
                <w:szCs w:val="20"/>
              </w:rPr>
              <w:t xml:space="preserve">дусмотренных абзацем </w:t>
            </w:r>
            <w:r w:rsidR="00AC6CA4">
              <w:rPr>
                <w:sz w:val="20"/>
                <w:szCs w:val="20"/>
              </w:rPr>
              <w:t>9</w:t>
            </w:r>
            <w:r>
              <w:rPr>
                <w:sz w:val="20"/>
                <w:szCs w:val="20"/>
              </w:rPr>
              <w:t xml:space="preserve"> пункта 24</w:t>
            </w:r>
            <w:r w:rsidRPr="00D471B8">
              <w:rPr>
                <w:sz w:val="20"/>
                <w:szCs w:val="20"/>
              </w:rPr>
              <w:t xml:space="preserve">.1.1. настоящих Правил, которые (права аренды которых) входят в состав Фонда, не должна превышать 20 процентов совокупной площади земельных участков, на которых расположено недвижимое имущество, составляющее Фонд, которые имеют общую границу с такими смежными земельными участками и которые (права аренды которых) входят в состав Фонда. </w:t>
            </w:r>
          </w:p>
          <w:p w14:paraId="2AFB061F" w14:textId="41CF5FFF" w:rsidR="003F4824" w:rsidRPr="00D471B8" w:rsidRDefault="003F4824" w:rsidP="00216FE1">
            <w:pPr>
              <w:ind w:firstLine="540"/>
              <w:jc w:val="both"/>
              <w:rPr>
                <w:sz w:val="20"/>
                <w:szCs w:val="20"/>
              </w:rPr>
            </w:pPr>
            <w:r>
              <w:rPr>
                <w:sz w:val="20"/>
                <w:szCs w:val="20"/>
              </w:rPr>
              <w:t>25</w:t>
            </w:r>
            <w:r w:rsidR="009629C1">
              <w:rPr>
                <w:sz w:val="20"/>
                <w:szCs w:val="20"/>
              </w:rPr>
              <w:t>.</w:t>
            </w:r>
            <w:r w:rsidR="00E10F8E">
              <w:rPr>
                <w:sz w:val="20"/>
                <w:szCs w:val="20"/>
              </w:rPr>
              <w:t xml:space="preserve"> </w:t>
            </w:r>
            <w:r w:rsidR="009629C1">
              <w:rPr>
                <w:sz w:val="20"/>
                <w:szCs w:val="20"/>
              </w:rPr>
              <w:t xml:space="preserve">Структура активов Фонда. </w:t>
            </w:r>
            <w:r w:rsidR="009629C1" w:rsidRPr="00D471B8">
              <w:rPr>
                <w:sz w:val="20"/>
                <w:szCs w:val="20"/>
              </w:rPr>
              <w:t>При определении структуры активов Фонда учитываются активы, принятые к расчету стоимости его чистых активов. Структура активов Фонда должна соответствовать одновременно следующим требованиям:</w:t>
            </w:r>
            <w:bookmarkStart w:id="5" w:name="_GoBack"/>
            <w:bookmarkEnd w:id="5"/>
          </w:p>
          <w:p w14:paraId="43525E56" w14:textId="73D90C0F" w:rsidR="000D75B7" w:rsidRDefault="00506F00" w:rsidP="000D75B7">
            <w:pPr>
              <w:jc w:val="both"/>
              <w:rPr>
                <w:sz w:val="20"/>
                <w:szCs w:val="20"/>
              </w:rPr>
            </w:pPr>
            <w:r>
              <w:rPr>
                <w:sz w:val="20"/>
                <w:szCs w:val="20"/>
              </w:rPr>
              <w:t xml:space="preserve">         </w:t>
            </w:r>
            <w:r w:rsidR="003F4824">
              <w:rPr>
                <w:sz w:val="20"/>
                <w:szCs w:val="20"/>
              </w:rPr>
              <w:t>25</w:t>
            </w:r>
            <w:r w:rsidR="003F4824" w:rsidRPr="00D471B8">
              <w:rPr>
                <w:sz w:val="20"/>
                <w:szCs w:val="20"/>
              </w:rPr>
              <w:t>.1.</w:t>
            </w:r>
            <w:r>
              <w:rPr>
                <w:sz w:val="20"/>
                <w:szCs w:val="20"/>
              </w:rPr>
              <w:t xml:space="preserve"> </w:t>
            </w:r>
            <w:r w:rsidR="003F4824" w:rsidRPr="00D471B8">
              <w:rPr>
                <w:sz w:val="20"/>
                <w:szCs w:val="20"/>
              </w:rPr>
              <w:t>Денежные средства в рублях и в иностранной валюте на счетах и во вкладах (депозитах) в одном юридическом лице (если юридическое лицо является кредитной организацией), права требования к такому юридическому лицу, в совокупности не должны превышать 10 про</w:t>
            </w:r>
            <w:r w:rsidR="003500DC">
              <w:rPr>
                <w:sz w:val="20"/>
                <w:szCs w:val="20"/>
              </w:rPr>
              <w:t>центов стоимости активов Фонда.</w:t>
            </w:r>
            <w:r w:rsidR="009D4F5F">
              <w:rPr>
                <w:sz w:val="20"/>
                <w:szCs w:val="20"/>
              </w:rPr>
              <w:t xml:space="preserve">      </w:t>
            </w:r>
          </w:p>
          <w:p w14:paraId="66AB9DE1" w14:textId="6DCD3677" w:rsidR="003F4824" w:rsidRDefault="001F105B" w:rsidP="000D75B7">
            <w:pPr>
              <w:jc w:val="both"/>
              <w:rPr>
                <w:sz w:val="20"/>
                <w:szCs w:val="20"/>
              </w:rPr>
            </w:pPr>
            <w:r>
              <w:rPr>
                <w:sz w:val="20"/>
                <w:szCs w:val="20"/>
              </w:rPr>
              <w:t xml:space="preserve"> </w:t>
            </w:r>
            <w:r w:rsidR="00506F00">
              <w:rPr>
                <w:sz w:val="20"/>
                <w:szCs w:val="20"/>
              </w:rPr>
              <w:t xml:space="preserve">       </w:t>
            </w:r>
            <w:r w:rsidR="00643976" w:rsidRPr="00265E75">
              <w:rPr>
                <w:sz w:val="20"/>
                <w:szCs w:val="20"/>
              </w:rPr>
              <w:t xml:space="preserve">Требования абзаца </w:t>
            </w:r>
            <w:r w:rsidR="00114CEB">
              <w:rPr>
                <w:sz w:val="20"/>
                <w:szCs w:val="20"/>
              </w:rPr>
              <w:t>перв</w:t>
            </w:r>
            <w:r w:rsidR="005744E7">
              <w:rPr>
                <w:sz w:val="20"/>
                <w:szCs w:val="20"/>
              </w:rPr>
              <w:t>ого</w:t>
            </w:r>
            <w:r w:rsidR="00643976" w:rsidRPr="00265E75">
              <w:rPr>
                <w:sz w:val="20"/>
                <w:szCs w:val="20"/>
              </w:rPr>
              <w:t xml:space="preserve"> настоящего пункта не распространяются на права требования к центральному контрагенту</w:t>
            </w:r>
            <w:r w:rsidR="00643976">
              <w:rPr>
                <w:sz w:val="20"/>
                <w:szCs w:val="20"/>
              </w:rPr>
              <w:t>.</w:t>
            </w:r>
            <w:r w:rsidR="00506F00">
              <w:rPr>
                <w:sz w:val="20"/>
                <w:szCs w:val="20"/>
              </w:rPr>
              <w:t xml:space="preserve"> </w:t>
            </w:r>
            <w:r w:rsidR="00643976" w:rsidRPr="00265E75">
              <w:rPr>
                <w:sz w:val="20"/>
                <w:szCs w:val="20"/>
              </w:rPr>
              <w:t xml:space="preserve">Для целей расчета ограничения, указанного в абзаце </w:t>
            </w:r>
            <w:r w:rsidR="00114CEB">
              <w:rPr>
                <w:sz w:val="20"/>
                <w:szCs w:val="20"/>
              </w:rPr>
              <w:t>первом</w:t>
            </w:r>
            <w:r w:rsidR="00643976" w:rsidRPr="00265E75">
              <w:rPr>
                <w:sz w:val="20"/>
                <w:szCs w:val="20"/>
              </w:rPr>
              <w:t xml:space="preserve"> настоящего пункта Правил</w:t>
            </w:r>
            <w:r w:rsidR="00643976">
              <w:rPr>
                <w:sz w:val="20"/>
                <w:szCs w:val="20"/>
              </w:rPr>
              <w:t xml:space="preserve">, </w:t>
            </w:r>
            <w:r w:rsidR="003F4824" w:rsidRPr="00D471B8">
              <w:rPr>
                <w:sz w:val="20"/>
                <w:szCs w:val="20"/>
              </w:rPr>
              <w:t xml:space="preserve">при определении доли оценочной стоимости активов в стоимости активов Фонда в сумме денежных средств в рублях и в иностранной валюте на счетах в одном юридическом лице и стоимости прав требований к одному юридическому лицу, возникших на основании договора о брокерском обслуживании с таким лицом (при условии, что указанным договором предусмотрено исполнение таким юридическим лицом обязательств в течение одного рабочего дня с даты предъявления указанных требований к исполнению), составляющих Фонд, не учитывается сумма (или ее часть) денежных средств, подлежащих выплате в связи с погашением инвестиционных паев Фонда или в связи с выплатой дохода от доверительного управления имуществом, составляющим Фонд, на момент расчета ограничения. </w:t>
            </w:r>
          </w:p>
          <w:p w14:paraId="60D4A54A" w14:textId="400F0C8D" w:rsidR="003F4824" w:rsidRPr="00D471B8" w:rsidRDefault="003F4824" w:rsidP="00216FE1">
            <w:pPr>
              <w:ind w:firstLine="540"/>
              <w:jc w:val="both"/>
              <w:rPr>
                <w:sz w:val="20"/>
                <w:szCs w:val="20"/>
              </w:rPr>
            </w:pPr>
            <w:r w:rsidRPr="00D471B8">
              <w:rPr>
                <w:sz w:val="20"/>
                <w:szCs w:val="20"/>
              </w:rPr>
              <w:t xml:space="preserve">При этом общая сумма денежных средств и стоимость прав требований, которые не учитываются при расчете указанного ограничения, в отношении всех денежных средств в рублях и в иностранной валюте на всех счетах и в отношении всех прав требований к юридическим лицам, возникших на основании указанных договоров о брокерском обслуживании, составляющих Фонд, в совокупности не должны превышать общую сумму денежных средств, подлежащих выплате в связи с погашением инвестиционных паев Фонда или в связи с выплатой дохода от доверительного управления имуществом, составляющим Фонд, на момент расчета ограничения. Для целей расчета ограничения, указанного в абзаце </w:t>
            </w:r>
            <w:r w:rsidR="00114CEB">
              <w:rPr>
                <w:sz w:val="20"/>
                <w:szCs w:val="20"/>
              </w:rPr>
              <w:t>первом</w:t>
            </w:r>
            <w:r w:rsidRPr="00D471B8">
              <w:rPr>
                <w:sz w:val="20"/>
                <w:szCs w:val="20"/>
              </w:rPr>
              <w:t xml:space="preserve"> настоящего пункта Правил, при определении доли оценочной стоимости активов в стоимости активов Фонда в сумме денежных средств в рублях и в иностранной валюте на счетах в одном юридическом лице, составляющих Фонд, не учитывается сумма (или ее часть) денежных средств, находящихся на указанных счетах (одном из указанных счетов) и включенных в Фонд при выдаче инвестиционных паев, в течение не более 2 рабочих дней с даты указанного включения. </w:t>
            </w:r>
          </w:p>
          <w:p w14:paraId="58D5FEF1" w14:textId="43881823" w:rsidR="003F4824" w:rsidRDefault="003F4824" w:rsidP="00216FE1">
            <w:pPr>
              <w:ind w:firstLine="540"/>
              <w:jc w:val="both"/>
              <w:rPr>
                <w:sz w:val="20"/>
                <w:szCs w:val="20"/>
              </w:rPr>
            </w:pPr>
            <w:r>
              <w:rPr>
                <w:sz w:val="20"/>
                <w:szCs w:val="20"/>
              </w:rPr>
              <w:t>25</w:t>
            </w:r>
            <w:r w:rsidRPr="00D471B8">
              <w:rPr>
                <w:sz w:val="20"/>
                <w:szCs w:val="20"/>
              </w:rPr>
              <w:t xml:space="preserve">.2. </w:t>
            </w:r>
            <w:r w:rsidR="00C754CB" w:rsidRPr="00265E75">
              <w:rPr>
                <w:sz w:val="20"/>
                <w:szCs w:val="20"/>
              </w:rPr>
              <w:t xml:space="preserve">Размер принятых обязательств по поставке активов по сделкам, дата исполнения которых не ранее 4 рабочих дней с даты заключения сделки (за исключением сделок с активами, предусмотренными абзацами </w:t>
            </w:r>
            <w:r w:rsidR="00AC6CA4">
              <w:rPr>
                <w:sz w:val="20"/>
                <w:szCs w:val="20"/>
              </w:rPr>
              <w:t>3</w:t>
            </w:r>
            <w:r w:rsidR="00C754CB" w:rsidRPr="00265E75">
              <w:rPr>
                <w:sz w:val="20"/>
                <w:szCs w:val="20"/>
              </w:rPr>
              <w:t>–</w:t>
            </w:r>
            <w:r w:rsidR="00114CEB">
              <w:rPr>
                <w:sz w:val="20"/>
                <w:szCs w:val="20"/>
              </w:rPr>
              <w:t>9</w:t>
            </w:r>
            <w:r w:rsidR="00C754CB" w:rsidRPr="00265E75">
              <w:rPr>
                <w:sz w:val="20"/>
                <w:szCs w:val="20"/>
              </w:rPr>
              <w:t xml:space="preserve"> пункта 24.1.1 настоящих Правил), и заемные средства, предусмотренные подпунктом 5 пункта 1 статьи 40 Федерального закона «Об инвестиционных фондах», в совокупности не должны превышать 40 процентов стоимости чистых активов Фонда.</w:t>
            </w:r>
          </w:p>
          <w:p w14:paraId="7502B310" w14:textId="5FBEFD83" w:rsidR="00CC2A1C" w:rsidRDefault="00C754CB" w:rsidP="000C7847">
            <w:pPr>
              <w:ind w:firstLine="540"/>
              <w:jc w:val="both"/>
              <w:rPr>
                <w:sz w:val="20"/>
                <w:szCs w:val="20"/>
              </w:rPr>
            </w:pPr>
            <w:r w:rsidRPr="00265E75">
              <w:rPr>
                <w:sz w:val="20"/>
                <w:szCs w:val="20"/>
              </w:rPr>
              <w:t xml:space="preserve">На дату заключения договоров займа, кредитных договоров или сделок, дата исполнения которых не ранее 4 рабочих дней с даты заключения сделки (за исключением сделок с активами, предусмотренными абзацами </w:t>
            </w:r>
            <w:r w:rsidR="00DA7A50">
              <w:rPr>
                <w:sz w:val="20"/>
                <w:szCs w:val="20"/>
              </w:rPr>
              <w:t>3</w:t>
            </w:r>
            <w:r w:rsidRPr="00265E75">
              <w:rPr>
                <w:sz w:val="20"/>
                <w:szCs w:val="20"/>
              </w:rPr>
              <w:t>–</w:t>
            </w:r>
            <w:r w:rsidR="00D208B5">
              <w:rPr>
                <w:sz w:val="20"/>
                <w:szCs w:val="20"/>
              </w:rPr>
              <w:t>9</w:t>
            </w:r>
            <w:r w:rsidRPr="00265E75">
              <w:rPr>
                <w:sz w:val="20"/>
                <w:szCs w:val="20"/>
              </w:rPr>
              <w:t xml:space="preserve"> пункта 24.1.1 настоящих Правил), совокупная стоимость активов, указанных в абзаце первом настоящего пункта, с учетом заключенных ранее сделок, указанных в настоящем абзаце, и заемных средств, предусмотренных подпунктом 5 пункта 1 статьи 40 Федерального закона «Об инвестиционных фондах», не должна превышать 20 процентов стоимости чистых активов Фонда».</w:t>
            </w:r>
          </w:p>
          <w:p w14:paraId="396B1FA5" w14:textId="2BE71A8E" w:rsidR="003F4824" w:rsidRPr="00D471B8" w:rsidRDefault="003F4824" w:rsidP="000C7847">
            <w:pPr>
              <w:ind w:firstLine="540"/>
              <w:jc w:val="both"/>
              <w:rPr>
                <w:sz w:val="20"/>
                <w:szCs w:val="20"/>
              </w:rPr>
            </w:pPr>
            <w:r>
              <w:rPr>
                <w:sz w:val="20"/>
                <w:szCs w:val="20"/>
              </w:rPr>
              <w:t>25</w:t>
            </w:r>
            <w:r w:rsidRPr="00D471B8">
              <w:rPr>
                <w:sz w:val="20"/>
                <w:szCs w:val="20"/>
              </w:rPr>
              <w:t xml:space="preserve">.3. </w:t>
            </w:r>
            <w:r w:rsidR="00643976" w:rsidRPr="00265E75">
              <w:rPr>
                <w:sz w:val="20"/>
                <w:szCs w:val="20"/>
              </w:rPr>
              <w:t xml:space="preserve">Требования абзаца </w:t>
            </w:r>
            <w:r w:rsidR="00CD142B">
              <w:rPr>
                <w:sz w:val="20"/>
                <w:szCs w:val="20"/>
              </w:rPr>
              <w:t>перв</w:t>
            </w:r>
            <w:r w:rsidR="005744E7">
              <w:rPr>
                <w:sz w:val="20"/>
                <w:szCs w:val="20"/>
              </w:rPr>
              <w:t>ого</w:t>
            </w:r>
            <w:r w:rsidR="00643976" w:rsidRPr="00265E75">
              <w:rPr>
                <w:sz w:val="20"/>
                <w:szCs w:val="20"/>
              </w:rPr>
              <w:t xml:space="preserve"> пункта 25.1 настоящих Правил не применяются после даты возникновения основания прекращения Фонда</w:t>
            </w:r>
            <w:r w:rsidR="00643976">
              <w:rPr>
                <w:sz w:val="20"/>
                <w:szCs w:val="20"/>
              </w:rPr>
              <w:t>.</w:t>
            </w:r>
            <w:r w:rsidRPr="00D471B8">
              <w:rPr>
                <w:sz w:val="20"/>
                <w:szCs w:val="20"/>
              </w:rPr>
              <w:t xml:space="preserve"> </w:t>
            </w:r>
          </w:p>
          <w:p w14:paraId="599C82E4" w14:textId="0D109A5A" w:rsidR="00506F00" w:rsidRDefault="00506F00" w:rsidP="00506F00">
            <w:pPr>
              <w:jc w:val="both"/>
              <w:rPr>
                <w:sz w:val="20"/>
                <w:szCs w:val="20"/>
              </w:rPr>
            </w:pPr>
            <w:r>
              <w:rPr>
                <w:sz w:val="20"/>
                <w:szCs w:val="20"/>
              </w:rPr>
              <w:t xml:space="preserve">          </w:t>
            </w:r>
            <w:r w:rsidR="003F4824">
              <w:rPr>
                <w:sz w:val="20"/>
                <w:szCs w:val="20"/>
              </w:rPr>
              <w:t>25</w:t>
            </w:r>
            <w:r w:rsidR="003F4824" w:rsidRPr="00D471B8">
              <w:rPr>
                <w:sz w:val="20"/>
                <w:szCs w:val="20"/>
              </w:rPr>
              <w:t>.4. В состав активов Фонда не могут входить цифровые валюты, а также производные финансовые инструменты (ценные бумаги), изменение стоимости которых (выплаты по которым) в соответствии с их условиями (условиями их выпуска, правилами доверительного управления (проспектом (правилами) инвестиционного фонда) зависит (зависят) от изменения курсов цифровых валют и (или) изменения стоимости иных производных финансовых инструментов (ценных бумаг), изменение стоимости которых (выплаты по которым) в соответствии с их условиями (условиями их выпуска, правилами доверительного управления (проспектом (правилами) инвестиционного фонда) зависит (зависят) от изменения курсов цифровых валют. В состав активов Фонда не могут входить ценные бумаги, в соответствии с условиями выпуска которых лицо, обязанное по ценным бумагам, осуществляет деятельность по оказанию услуг, направленных на обеспечение выпуска цифровой валюты и (или) совершения гражданско-правовых сделок и (или) операций, влекущих за собой переход цифровой валюты от одного обладателя к другому.</w:t>
            </w:r>
          </w:p>
          <w:p w14:paraId="39F63507" w14:textId="0CF5269D" w:rsidR="003F4824" w:rsidRPr="00D471B8" w:rsidRDefault="00506F00" w:rsidP="00506F00">
            <w:pPr>
              <w:jc w:val="both"/>
              <w:rPr>
                <w:sz w:val="20"/>
                <w:szCs w:val="20"/>
              </w:rPr>
            </w:pPr>
            <w:r>
              <w:rPr>
                <w:sz w:val="20"/>
                <w:szCs w:val="20"/>
              </w:rPr>
              <w:t xml:space="preserve">           </w:t>
            </w:r>
            <w:r w:rsidR="003F4824">
              <w:rPr>
                <w:sz w:val="20"/>
                <w:szCs w:val="20"/>
              </w:rPr>
              <w:t>25</w:t>
            </w:r>
            <w:r w:rsidR="003F4824" w:rsidRPr="00D471B8">
              <w:rPr>
                <w:sz w:val="20"/>
                <w:szCs w:val="20"/>
              </w:rPr>
              <w:t xml:space="preserve">.5. Управляющая компания реализует инвестиционную стратегию </w:t>
            </w:r>
            <w:r w:rsidR="003F4824" w:rsidRPr="00D471B8">
              <w:rPr>
                <w:b/>
                <w:sz w:val="20"/>
                <w:szCs w:val="20"/>
              </w:rPr>
              <w:t>активного управления</w:t>
            </w:r>
            <w:r w:rsidR="003F4824" w:rsidRPr="00D471B8">
              <w:rPr>
                <w:sz w:val="20"/>
                <w:szCs w:val="20"/>
              </w:rPr>
              <w:t xml:space="preserve">. Способом реализации Управляющей компанией инвестиционной стратегии активного управления </w:t>
            </w:r>
            <w:r w:rsidR="003F4824" w:rsidRPr="00D471B8">
              <w:rPr>
                <w:b/>
                <w:sz w:val="20"/>
                <w:szCs w:val="20"/>
              </w:rPr>
              <w:t>является приобретение, эффективная сдача в аренду нежилых зданий и помещений в нежилых зданиях, соответствующих основным параметрам выбора</w:t>
            </w:r>
            <w:r w:rsidR="003F4824">
              <w:rPr>
                <w:sz w:val="20"/>
                <w:szCs w:val="20"/>
              </w:rPr>
              <w:t>, установленными в пункте 25</w:t>
            </w:r>
            <w:r w:rsidR="003F4824" w:rsidRPr="00D471B8">
              <w:rPr>
                <w:sz w:val="20"/>
                <w:szCs w:val="20"/>
              </w:rPr>
              <w:t xml:space="preserve">.6 настоящих Правил. До момента приобретения объектов недвижимости, остаток денежных средств, составляющих Фонд, </w:t>
            </w:r>
            <w:r w:rsidR="00C754CB" w:rsidRPr="00265E75">
              <w:rPr>
                <w:sz w:val="20"/>
                <w:szCs w:val="20"/>
              </w:rPr>
              <w:t>размещается в инструменты денежного рынка для целей аккумулирования</w:t>
            </w:r>
            <w:r w:rsidR="003F4824" w:rsidRPr="00D471B8">
              <w:rPr>
                <w:sz w:val="20"/>
                <w:szCs w:val="20"/>
              </w:rPr>
              <w:t xml:space="preserve"> необходимой суммы для приобретения объектов недвижимого имущества. Выбор активов при принятии инвестиционных решений осуществляется Управляющей компанией с точки зрения </w:t>
            </w:r>
            <w:r w:rsidR="003F4824" w:rsidRPr="00D471B8">
              <w:rPr>
                <w:b/>
                <w:sz w:val="20"/>
                <w:szCs w:val="20"/>
              </w:rPr>
              <w:t xml:space="preserve">наилучшего соотношения рисков и ожидаемой доходности </w:t>
            </w:r>
            <w:r w:rsidR="003F4824" w:rsidRPr="00D471B8">
              <w:rPr>
                <w:sz w:val="20"/>
                <w:szCs w:val="20"/>
              </w:rPr>
              <w:t xml:space="preserve">отдельных активов и (или) инвестиционного портфеля Фонда в совокупности. При таком подходе Управляющая компания в ходе управления имуществом Фонда </w:t>
            </w:r>
            <w:r w:rsidR="003F4824" w:rsidRPr="00D471B8">
              <w:rPr>
                <w:b/>
                <w:sz w:val="20"/>
                <w:szCs w:val="20"/>
              </w:rPr>
              <w:t>осуществляет анализ соотношения рисков и ожидаемой доходности всех активов, указанных в перечне объектов инвестирования</w:t>
            </w:r>
            <w:r w:rsidR="003F4824" w:rsidRPr="00D471B8">
              <w:rPr>
                <w:sz w:val="20"/>
                <w:szCs w:val="20"/>
              </w:rPr>
              <w:t>. Группой активов, определенных в настоящих Правилах в качестве преимущественных объектов инвестирования Фонда, являют</w:t>
            </w:r>
            <w:r w:rsidR="003F4824">
              <w:rPr>
                <w:sz w:val="20"/>
                <w:szCs w:val="20"/>
              </w:rPr>
              <w:t>ся активы, указанные в пункте 24</w:t>
            </w:r>
            <w:r w:rsidR="003F4824" w:rsidRPr="00D471B8">
              <w:rPr>
                <w:sz w:val="20"/>
                <w:szCs w:val="20"/>
              </w:rPr>
              <w:t>.1.1 настоящих Правил, с учетом условия, ука</w:t>
            </w:r>
            <w:r w:rsidR="003F4824">
              <w:rPr>
                <w:sz w:val="20"/>
                <w:szCs w:val="20"/>
              </w:rPr>
              <w:t>занного в пункте 24</w:t>
            </w:r>
            <w:r w:rsidR="003F4824" w:rsidRPr="00D471B8">
              <w:rPr>
                <w:sz w:val="20"/>
                <w:szCs w:val="20"/>
              </w:rPr>
              <w:t>.2 настоящих Правил об их нахождении на территории города Москвы. Совокупная стоимость преимущественных объектов инвестирования Фонда (групп</w:t>
            </w:r>
            <w:r w:rsidR="003F4824">
              <w:rPr>
                <w:sz w:val="20"/>
                <w:szCs w:val="20"/>
              </w:rPr>
              <w:t>ы активов, указанных в пункте 24</w:t>
            </w:r>
            <w:r w:rsidR="003F4824" w:rsidRPr="00D471B8">
              <w:rPr>
                <w:sz w:val="20"/>
                <w:szCs w:val="20"/>
              </w:rPr>
              <w:t>.1.1 настоящих Правил), с учетом</w:t>
            </w:r>
            <w:r w:rsidR="003F4824">
              <w:rPr>
                <w:sz w:val="20"/>
                <w:szCs w:val="20"/>
              </w:rPr>
              <w:t xml:space="preserve"> условия, указанного в пункте 24</w:t>
            </w:r>
            <w:r w:rsidR="003F4824" w:rsidRPr="00D471B8">
              <w:rPr>
                <w:sz w:val="20"/>
                <w:szCs w:val="20"/>
              </w:rPr>
              <w:t xml:space="preserve">.2 настоящих Правил об их нахождении на территории города Москвы, не менее двух третей рабочих дней в течение каждого календарного квартала (за исключением периода с даты возникновения основания прекращения Фонда) должна составлять не менее 80 % (восьмидесяти процентов) стоимости активов, составляющих Фонд. </w:t>
            </w:r>
          </w:p>
          <w:p w14:paraId="355D152D" w14:textId="77777777" w:rsidR="003F4824" w:rsidRPr="00D471B8" w:rsidRDefault="003F4824" w:rsidP="00216FE1">
            <w:pPr>
              <w:ind w:firstLine="540"/>
              <w:jc w:val="both"/>
              <w:rPr>
                <w:sz w:val="20"/>
                <w:szCs w:val="20"/>
              </w:rPr>
            </w:pPr>
            <w:r>
              <w:rPr>
                <w:sz w:val="20"/>
                <w:szCs w:val="20"/>
              </w:rPr>
              <w:t>25</w:t>
            </w:r>
            <w:r w:rsidRPr="00D471B8">
              <w:rPr>
                <w:sz w:val="20"/>
                <w:szCs w:val="20"/>
              </w:rPr>
              <w:t xml:space="preserve">.6. При приобретении в состав имущества Фонда нежилых зданий и помещений в нежилых зданиях, </w:t>
            </w:r>
            <w:r>
              <w:rPr>
                <w:sz w:val="20"/>
                <w:szCs w:val="20"/>
              </w:rPr>
              <w:t>указанных в пункте 25</w:t>
            </w:r>
            <w:r w:rsidRPr="00D471B8">
              <w:rPr>
                <w:sz w:val="20"/>
                <w:szCs w:val="20"/>
              </w:rPr>
              <w:t xml:space="preserve">.5. настоящих Правил, учитываются следующие параметры: - актив  </w:t>
            </w:r>
            <w:r w:rsidRPr="00D471B8">
              <w:rPr>
                <w:b/>
                <w:sz w:val="20"/>
                <w:szCs w:val="20"/>
              </w:rPr>
              <w:t>введен в эксплуатацию</w:t>
            </w:r>
            <w:r w:rsidRPr="00D471B8">
              <w:rPr>
                <w:sz w:val="20"/>
                <w:szCs w:val="20"/>
              </w:rPr>
              <w:t xml:space="preserve">;. </w:t>
            </w:r>
          </w:p>
          <w:p w14:paraId="21534F64" w14:textId="31FBC6AC" w:rsidR="003F4824" w:rsidRPr="00D471B8" w:rsidRDefault="003F4824" w:rsidP="00506F00">
            <w:pPr>
              <w:ind w:firstLine="540"/>
              <w:jc w:val="both"/>
              <w:rPr>
                <w:sz w:val="20"/>
                <w:szCs w:val="20"/>
              </w:rPr>
            </w:pPr>
            <w:r>
              <w:rPr>
                <w:sz w:val="20"/>
                <w:szCs w:val="20"/>
              </w:rPr>
              <w:t>25</w:t>
            </w:r>
            <w:r w:rsidRPr="00D471B8">
              <w:rPr>
                <w:sz w:val="20"/>
                <w:szCs w:val="20"/>
              </w:rPr>
              <w:t xml:space="preserve">.7. Под критерием определения </w:t>
            </w:r>
            <w:r w:rsidRPr="00D471B8">
              <w:rPr>
                <w:b/>
                <w:sz w:val="20"/>
                <w:szCs w:val="20"/>
              </w:rPr>
              <w:t>эффективности последующей сдачи в аренду (в случае отсутствия заключенного договора аренды в отношении объекта на момент приобретения в состав имущества Фонда) для целей настоящих Правил Управляющая компания понимает: ставку арендной платы не ниже рыночной с учетом индивидуальных особенностей объекта.</w:t>
            </w:r>
            <w:r w:rsidRPr="00D471B8">
              <w:rPr>
                <w:sz w:val="20"/>
                <w:szCs w:val="20"/>
              </w:rPr>
              <w:t xml:space="preserve"> При определении рыночной ставки арендной платы Управляющей компанией используются данные </w:t>
            </w:r>
            <w:r w:rsidRPr="00D471B8">
              <w:rPr>
                <w:b/>
                <w:sz w:val="20"/>
                <w:szCs w:val="20"/>
              </w:rPr>
              <w:t>о рыночных ценах, полученные из российских открытых специализированных источников в сети Интернет (</w:t>
            </w:r>
            <w:r w:rsidR="00C754CB" w:rsidRPr="00265E75">
              <w:rPr>
                <w:b/>
                <w:sz w:val="20"/>
                <w:szCs w:val="20"/>
              </w:rPr>
              <w:t>cian.ru, avito.ru, irn.ru</w:t>
            </w:r>
            <w:r w:rsidRPr="00D471B8">
              <w:rPr>
                <w:b/>
                <w:sz w:val="20"/>
                <w:szCs w:val="20"/>
              </w:rPr>
              <w:t xml:space="preserve">), а </w:t>
            </w:r>
            <w:r w:rsidR="00585B25" w:rsidRPr="00D471B8">
              <w:rPr>
                <w:b/>
                <w:sz w:val="20"/>
                <w:szCs w:val="20"/>
              </w:rPr>
              <w:t>также данных</w:t>
            </w:r>
            <w:r w:rsidR="00585B25">
              <w:rPr>
                <w:b/>
                <w:sz w:val="20"/>
                <w:szCs w:val="20"/>
              </w:rPr>
              <w:t>,</w:t>
            </w:r>
            <w:r w:rsidRPr="00D471B8">
              <w:rPr>
                <w:b/>
                <w:sz w:val="20"/>
                <w:szCs w:val="20"/>
              </w:rPr>
              <w:t xml:space="preserve"> полученных от   </w:t>
            </w:r>
            <w:r>
              <w:rPr>
                <w:b/>
                <w:sz w:val="20"/>
                <w:szCs w:val="20"/>
              </w:rPr>
              <w:t>О</w:t>
            </w:r>
            <w:r w:rsidRPr="00D471B8">
              <w:rPr>
                <w:b/>
                <w:sz w:val="20"/>
                <w:szCs w:val="20"/>
              </w:rPr>
              <w:t>ценщик</w:t>
            </w:r>
            <w:r>
              <w:rPr>
                <w:b/>
                <w:sz w:val="20"/>
                <w:szCs w:val="20"/>
              </w:rPr>
              <w:t>а</w:t>
            </w:r>
            <w:r w:rsidRPr="00D471B8">
              <w:rPr>
                <w:b/>
                <w:sz w:val="20"/>
                <w:szCs w:val="20"/>
              </w:rPr>
              <w:t xml:space="preserve"> в отношении объекта или схожих объектов недвижимого имущества, расположенных в том же районе Москвы</w:t>
            </w:r>
            <w:r w:rsidRPr="00D471B8">
              <w:rPr>
                <w:sz w:val="20"/>
                <w:szCs w:val="20"/>
              </w:rPr>
              <w:t xml:space="preserve">. </w:t>
            </w:r>
            <w:r w:rsidR="00585B25">
              <w:rPr>
                <w:sz w:val="20"/>
                <w:szCs w:val="20"/>
              </w:rPr>
              <w:t>Рыночная о</w:t>
            </w:r>
            <w:r w:rsidRPr="00D471B8">
              <w:rPr>
                <w:sz w:val="20"/>
                <w:szCs w:val="20"/>
              </w:rPr>
              <w:t>ценка  ставки арендной платы и прогноз эффективности сдачи в аренду осуществляется</w:t>
            </w:r>
            <w:r>
              <w:rPr>
                <w:sz w:val="20"/>
                <w:szCs w:val="20"/>
              </w:rPr>
              <w:t xml:space="preserve"> </w:t>
            </w:r>
            <w:r w:rsidRPr="00D471B8">
              <w:rPr>
                <w:sz w:val="20"/>
                <w:szCs w:val="20"/>
              </w:rPr>
              <w:t xml:space="preserve">Управляющей компанией </w:t>
            </w:r>
            <w:r w:rsidRPr="00D471B8">
              <w:rPr>
                <w:b/>
                <w:sz w:val="20"/>
                <w:szCs w:val="20"/>
              </w:rPr>
              <w:t xml:space="preserve">на сопоставлении данных из заключенных </w:t>
            </w:r>
            <w:r w:rsidR="00A772F6">
              <w:rPr>
                <w:b/>
                <w:sz w:val="20"/>
                <w:szCs w:val="20"/>
              </w:rPr>
              <w:t xml:space="preserve">действующих </w:t>
            </w:r>
            <w:r w:rsidRPr="00D471B8">
              <w:rPr>
                <w:b/>
                <w:sz w:val="20"/>
                <w:szCs w:val="20"/>
              </w:rPr>
              <w:t xml:space="preserve">договоров аренды </w:t>
            </w:r>
            <w:r w:rsidRPr="00D471B8">
              <w:rPr>
                <w:sz w:val="20"/>
                <w:szCs w:val="20"/>
              </w:rPr>
              <w:t xml:space="preserve">(при наличии) </w:t>
            </w:r>
            <w:r w:rsidR="00A772F6">
              <w:rPr>
                <w:sz w:val="20"/>
                <w:szCs w:val="20"/>
              </w:rPr>
              <w:t xml:space="preserve">на объекте </w:t>
            </w:r>
            <w:r w:rsidRPr="00D471B8">
              <w:rPr>
                <w:sz w:val="20"/>
                <w:szCs w:val="20"/>
              </w:rPr>
              <w:t>с данными  содержащимися в открытых источниках сети Интернет и/или указанной в отчете</w:t>
            </w:r>
            <w:r w:rsidRPr="00D81DA5">
              <w:rPr>
                <w:sz w:val="20"/>
                <w:szCs w:val="20"/>
              </w:rPr>
              <w:t xml:space="preserve"> </w:t>
            </w:r>
            <w:r>
              <w:rPr>
                <w:sz w:val="20"/>
                <w:szCs w:val="20"/>
              </w:rPr>
              <w:t>Оценщика</w:t>
            </w:r>
            <w:r w:rsidRPr="00591FCA">
              <w:rPr>
                <w:sz w:val="20"/>
                <w:szCs w:val="20"/>
              </w:rPr>
              <w:t>.</w:t>
            </w:r>
          </w:p>
          <w:p w14:paraId="14196F3F" w14:textId="73701B43" w:rsidR="003F4824" w:rsidRPr="00D471B8" w:rsidRDefault="003F4824" w:rsidP="00216FE1">
            <w:pPr>
              <w:ind w:firstLine="540"/>
              <w:jc w:val="both"/>
              <w:rPr>
                <w:sz w:val="20"/>
                <w:szCs w:val="20"/>
              </w:rPr>
            </w:pPr>
            <w:r>
              <w:rPr>
                <w:sz w:val="20"/>
                <w:szCs w:val="20"/>
              </w:rPr>
              <w:t>25</w:t>
            </w:r>
            <w:r w:rsidRPr="00D471B8">
              <w:rPr>
                <w:sz w:val="20"/>
                <w:szCs w:val="20"/>
              </w:rPr>
              <w:t>.</w:t>
            </w:r>
            <w:r w:rsidR="00C754CB">
              <w:rPr>
                <w:sz w:val="20"/>
                <w:szCs w:val="20"/>
              </w:rPr>
              <w:t>8</w:t>
            </w:r>
            <w:r w:rsidRPr="00D471B8">
              <w:rPr>
                <w:sz w:val="20"/>
                <w:szCs w:val="20"/>
              </w:rPr>
              <w:t xml:space="preserve">. Индикатор (индекс), по отношению к которому Управляющая компания оценивает результативность реализации своей инвестиционной стратегии активного управления, не может быть разработан или установлен Управляющей компанией. Причиной тому является тот факт, что коммерческая недвижимость, как класс активов, имеет низкую корреляцию с иными классами активов, а также ввиду уникальности каждого конкретного объекта по его местоположению, качеству строительства и спектру оказываемых услуг, а также отсутствия объема данных по движению цен и доходностей подлежащих анализу </w:t>
            </w:r>
          </w:p>
          <w:p w14:paraId="5D088916" w14:textId="77777777" w:rsidR="007A5AFC" w:rsidRDefault="003F4824" w:rsidP="00216FE1">
            <w:pPr>
              <w:ind w:firstLine="540"/>
              <w:jc w:val="both"/>
              <w:rPr>
                <w:sz w:val="20"/>
                <w:szCs w:val="20"/>
              </w:rPr>
            </w:pPr>
            <w:r>
              <w:rPr>
                <w:sz w:val="20"/>
                <w:szCs w:val="20"/>
              </w:rPr>
              <w:t>26</w:t>
            </w:r>
            <w:r w:rsidRPr="00D471B8">
              <w:rPr>
                <w:sz w:val="20"/>
                <w:szCs w:val="20"/>
              </w:rPr>
              <w:t>.</w:t>
            </w:r>
            <w:r w:rsidR="00585B25">
              <w:rPr>
                <w:sz w:val="20"/>
                <w:szCs w:val="20"/>
              </w:rPr>
              <w:t xml:space="preserve"> </w:t>
            </w:r>
            <w:r w:rsidRPr="00D471B8">
              <w:rPr>
                <w:sz w:val="20"/>
                <w:szCs w:val="20"/>
              </w:rPr>
              <w:t>Описание рисков, связанных с инвестированием в</w:t>
            </w:r>
            <w:r>
              <w:rPr>
                <w:sz w:val="20"/>
                <w:szCs w:val="20"/>
              </w:rPr>
              <w:t xml:space="preserve"> объекты, указанные в 24</w:t>
            </w:r>
            <w:r w:rsidRPr="00D471B8">
              <w:rPr>
                <w:sz w:val="20"/>
                <w:szCs w:val="20"/>
              </w:rPr>
              <w:t xml:space="preserve">.1 настоящих Правил. Инвестирование в недвижимое имущество, предусмотренные инвестиционной декларацией Фонда, связано с высокой степенью рисков и не подразумевает гарантий, как по возврату основной инвестированной суммы, так и по получению каких-либо доходов. Стоимость объектов вложения средств и соответственно расчетная стоимость инвестиционного пая могут увеличиваться и уменьшаться, результаты инвестирования в прошлом не определяют доходы в будущем, государство и Управляющая компания не гарантируют доходность инвестиций в Фонд. Заявления любых лиц об увеличении в будущем стоимости инвестиционного пая могут расцениваться не иначе как предположения. </w:t>
            </w:r>
          </w:p>
          <w:p w14:paraId="1458CE15" w14:textId="77777777" w:rsidR="007A5AFC" w:rsidRDefault="003F4824" w:rsidP="00216FE1">
            <w:pPr>
              <w:ind w:firstLine="540"/>
              <w:jc w:val="both"/>
              <w:rPr>
                <w:sz w:val="20"/>
                <w:szCs w:val="20"/>
              </w:rPr>
            </w:pPr>
            <w:r w:rsidRPr="00D471B8">
              <w:rPr>
                <w:sz w:val="20"/>
                <w:szCs w:val="20"/>
              </w:rPr>
              <w:t xml:space="preserve">Настоящее описание рисков не раскрывает информации обо всех рисках вследствие разнообразия ситуаций, возникающих при инвестировании. В наиболее общем виде понятие риска связано с возможностью положительного или отрицательного отклонения результата деятельности от ожидаемых или плановых значений, т.е. риск характеризует неопределенность получения ожидаемого финансового результата по итогам инвестиционной деятельности. </w:t>
            </w:r>
          </w:p>
          <w:p w14:paraId="46F2B1D2" w14:textId="77777777" w:rsidR="007A5AFC" w:rsidRDefault="003F4824" w:rsidP="00216FE1">
            <w:pPr>
              <w:ind w:firstLine="540"/>
              <w:jc w:val="both"/>
              <w:rPr>
                <w:sz w:val="20"/>
                <w:szCs w:val="20"/>
              </w:rPr>
            </w:pPr>
            <w:r w:rsidRPr="00D471B8">
              <w:rPr>
                <w:sz w:val="20"/>
                <w:szCs w:val="20"/>
              </w:rPr>
              <w:t xml:space="preserve">Для целей настоящего описания под риском при осуществлении операций по инвестированию понимается возможность наступления события, влекущего за собой потери для инвестора. Инвестор неизбежно сталкивается с необходимостью учитывать факторы риска самого различного свойства. Риски инвестирования в активы, указанные в инвестиционной декларации Фонда, включают, но не ограничиваются следующими рисками: </w:t>
            </w:r>
          </w:p>
          <w:p w14:paraId="108237FE" w14:textId="77777777" w:rsidR="007A5AFC" w:rsidRDefault="003F4824" w:rsidP="00216FE1">
            <w:pPr>
              <w:ind w:firstLine="540"/>
              <w:jc w:val="both"/>
              <w:rPr>
                <w:sz w:val="20"/>
                <w:szCs w:val="20"/>
              </w:rPr>
            </w:pPr>
            <w:r w:rsidRPr="00D471B8">
              <w:rPr>
                <w:sz w:val="20"/>
                <w:szCs w:val="20"/>
              </w:rPr>
              <w:t>- Нефинансовые риски;</w:t>
            </w:r>
          </w:p>
          <w:p w14:paraId="53B64DD1" w14:textId="29D5F76F" w:rsidR="00585B25" w:rsidRDefault="003F4824" w:rsidP="00216FE1">
            <w:pPr>
              <w:ind w:firstLine="540"/>
              <w:jc w:val="both"/>
              <w:rPr>
                <w:sz w:val="20"/>
                <w:szCs w:val="20"/>
              </w:rPr>
            </w:pPr>
            <w:r w:rsidRPr="00D471B8">
              <w:rPr>
                <w:sz w:val="20"/>
                <w:szCs w:val="20"/>
              </w:rPr>
              <w:t xml:space="preserve"> - Финансовые риски. </w:t>
            </w:r>
          </w:p>
          <w:p w14:paraId="0C20C176" w14:textId="77777777" w:rsidR="007A5AFC" w:rsidRDefault="003F4824" w:rsidP="00216FE1">
            <w:pPr>
              <w:ind w:firstLine="540"/>
              <w:jc w:val="both"/>
              <w:rPr>
                <w:sz w:val="20"/>
                <w:szCs w:val="20"/>
              </w:rPr>
            </w:pPr>
            <w:r w:rsidRPr="00D471B8">
              <w:rPr>
                <w:sz w:val="20"/>
                <w:szCs w:val="20"/>
              </w:rPr>
              <w:t>I. Нефинансовые риски. К нефинансовым рискам, в том числе, могут быть отнесены следующие риски:</w:t>
            </w:r>
          </w:p>
          <w:p w14:paraId="45D20744" w14:textId="594758F9" w:rsidR="007A5AFC" w:rsidRDefault="007A5AFC" w:rsidP="00216FE1">
            <w:pPr>
              <w:ind w:firstLine="540"/>
              <w:jc w:val="both"/>
              <w:rPr>
                <w:sz w:val="20"/>
                <w:szCs w:val="20"/>
              </w:rPr>
            </w:pPr>
            <w:r>
              <w:rPr>
                <w:sz w:val="20"/>
                <w:szCs w:val="20"/>
              </w:rPr>
              <w:t>-</w:t>
            </w:r>
            <w:r w:rsidR="003F4824" w:rsidRPr="00D471B8">
              <w:rPr>
                <w:sz w:val="20"/>
                <w:szCs w:val="20"/>
              </w:rPr>
              <w:t xml:space="preserve"> Стратегический риск связан с социально-политическими и экономическими условиями развития Российской Федерации. Данный риск не связан с особенностями того или иного объекта инвестирования. На этот риск оказывает влияние изменение политической ситуации, возможность наступления неблагоприятных (с точки зрения существенных условий бизнеса) изменений в российском законодательстве, девальвация национальной валюты, кризис рынка государственных долговых обязательств, банковский кризис, валютный кризис, представляющие собой прямое или опосредованное следствие рисков политического, экономического и законодательного характера. На уровень стратегического риска могут оказывать влияние и многие другие факторы, в том числе вероятность введения региональных экономических санкций или ограничений на инвестиции в отдельные отрасли экономики. К стратегическим рискам также относится возможное наступление обстоятельств непреодолимой силы, главным образом стихийного и геополитического характера (например, военные действия). Стратегический риск не может быть объектом разумного воздействия и управления со стороны Управляющей компании, не подлежит диверсификации и не понижаем. </w:t>
            </w:r>
          </w:p>
          <w:p w14:paraId="51FB3F2F" w14:textId="1BCBF9A0" w:rsidR="007A5AFC" w:rsidRDefault="007A5AFC" w:rsidP="00216FE1">
            <w:pPr>
              <w:ind w:firstLine="540"/>
              <w:jc w:val="both"/>
              <w:rPr>
                <w:sz w:val="20"/>
                <w:szCs w:val="20"/>
              </w:rPr>
            </w:pPr>
            <w:r>
              <w:rPr>
                <w:sz w:val="20"/>
                <w:szCs w:val="20"/>
              </w:rPr>
              <w:t xml:space="preserve">- </w:t>
            </w:r>
            <w:r w:rsidR="003F4824" w:rsidRPr="00D471B8">
              <w:rPr>
                <w:sz w:val="20"/>
                <w:szCs w:val="20"/>
              </w:rPr>
              <w:t>Системный риск связан с нарушением финансовой стабильности и возникшей неспособности большого числа финансовых институтов выполнять свои функции и обязательства. В силу большой степени взаимодействия и взаимозависимости финансовых институтов между собой оценка системного риска сложна, но его реализация может повлиять на всех участников финансового рынка. Управляющая компания не имеет возможностей воздействия на системный риск.</w:t>
            </w:r>
          </w:p>
          <w:p w14:paraId="78EE4772" w14:textId="63D06B29" w:rsidR="007A5AFC" w:rsidRDefault="003F4824" w:rsidP="00216FE1">
            <w:pPr>
              <w:ind w:firstLine="540"/>
              <w:jc w:val="both"/>
              <w:rPr>
                <w:sz w:val="20"/>
                <w:szCs w:val="20"/>
              </w:rPr>
            </w:pPr>
            <w:r w:rsidRPr="00D471B8">
              <w:rPr>
                <w:sz w:val="20"/>
                <w:szCs w:val="20"/>
              </w:rPr>
              <w:t xml:space="preserve"> </w:t>
            </w:r>
            <w:r w:rsidR="007A5AFC">
              <w:rPr>
                <w:sz w:val="20"/>
                <w:szCs w:val="20"/>
              </w:rPr>
              <w:t xml:space="preserve">- </w:t>
            </w:r>
            <w:r w:rsidRPr="00D471B8">
              <w:rPr>
                <w:sz w:val="20"/>
                <w:szCs w:val="20"/>
              </w:rPr>
              <w:t xml:space="preserve">Операционный риск, связанный с нарушениями бизнес-процессов, неправильным функционированием технических средств и программного обеспечения, неправильными действиями (бездействием) или недобросовестностью персонала Управляющей компании, ее контрагентов и партнеров, привлекаемых к управлению активами Фонда, а также вследствие внешних факторов, в том числе, противоправных действий третьих лиц. К операционному риску относятся возможные убытки, явившиеся результатом нарушений работы или некачественного или недобросовестного исполнения своих обязательств организаторами торговли, клиринговыми организациями, другими инфраструктурными организациям или банками, осуществляющими расчеты. С целью минимизации операционного риска Управляющая компания с должной предусмотрительностью относится к подбору сотрудников, оптимизации бизнес-процессов и выбору контрагентов. </w:t>
            </w:r>
          </w:p>
          <w:p w14:paraId="7D0FDCB3" w14:textId="0660BCDA" w:rsidR="007A5AFC" w:rsidRDefault="007A5AFC" w:rsidP="00216FE1">
            <w:pPr>
              <w:ind w:firstLine="540"/>
              <w:jc w:val="both"/>
              <w:rPr>
                <w:sz w:val="20"/>
                <w:szCs w:val="20"/>
              </w:rPr>
            </w:pPr>
            <w:r>
              <w:rPr>
                <w:sz w:val="20"/>
                <w:szCs w:val="20"/>
              </w:rPr>
              <w:t xml:space="preserve">- </w:t>
            </w:r>
            <w:r w:rsidR="003F4824" w:rsidRPr="00D471B8">
              <w:rPr>
                <w:sz w:val="20"/>
                <w:szCs w:val="20"/>
              </w:rPr>
              <w:t xml:space="preserve">Правовой риск, связанный с непредсказуемостью изменений действующего законодательства, а также с несовершенством законов и иных нормативных актов, стандартов саморегулируемых организаций, в том числе, регулирующих условия выпуска и/или обращения активов, указанных в инвестиционной декларации. Необходимо также принимать во внимание риски, связанные со сложностью налогового законодательства и противоречивостью его толкования и применения в сфере инвестиционной деятельности, а также риски изменения налогового законодательства, которые могут привести к негативному влиянию на итоговый инвестиционный результат. При этом крайне затруднительно прогнозировать степень влияния таких изменений на деятельность по управлению Фондом или финансовый результат инвестора. С целью минимизации правового риска Управляющая компания со всей тщательностью относится к изучению изменений в нормативной базе. Также Управляющая компания в полной мере использует все легальные механизмы взаимодействия с органами государственной власти, с Банком России с целью влияния на принятие решений по изменениям в законодательстве в пользу инвесторов. </w:t>
            </w:r>
          </w:p>
          <w:p w14:paraId="3D4E6D77" w14:textId="5B495383" w:rsidR="00BD73B4" w:rsidRDefault="007A5AFC" w:rsidP="00216FE1">
            <w:pPr>
              <w:ind w:firstLine="540"/>
              <w:jc w:val="both"/>
              <w:rPr>
                <w:sz w:val="20"/>
                <w:szCs w:val="20"/>
              </w:rPr>
            </w:pPr>
            <w:r>
              <w:rPr>
                <w:sz w:val="20"/>
                <w:szCs w:val="20"/>
              </w:rPr>
              <w:t xml:space="preserve">- </w:t>
            </w:r>
            <w:r w:rsidR="003F4824" w:rsidRPr="00D471B8">
              <w:rPr>
                <w:sz w:val="20"/>
                <w:szCs w:val="20"/>
              </w:rPr>
              <w:t xml:space="preserve">Регуляторный риск может проявляться в форме применения к Управляющей компании санкций регулирующих органов по причине несоответствия законам, общепринятым правилам и стандартам профессиональной деятельности. Следствием реализации регуляторного риска могут стать финансовые или репутационные потери Управляющей компании, запрет на проведение отдельных операций по управлению Фондом или аннулирование лицензии Управляющей компании. С целью исключения регуляторного риска Управляющая компания выстроила систему внутреннего контроля и оперативно принимает меры по приведению своей деятельности в полное соответствие с действующими нормативными актами. </w:t>
            </w:r>
          </w:p>
          <w:p w14:paraId="3E2A2AF0" w14:textId="77777777" w:rsidR="007A5AFC" w:rsidRDefault="003F4824" w:rsidP="00216FE1">
            <w:pPr>
              <w:ind w:firstLine="540"/>
              <w:jc w:val="both"/>
              <w:rPr>
                <w:sz w:val="20"/>
                <w:szCs w:val="20"/>
              </w:rPr>
            </w:pPr>
            <w:r w:rsidRPr="00D471B8">
              <w:rPr>
                <w:sz w:val="20"/>
                <w:szCs w:val="20"/>
              </w:rPr>
              <w:t>II. Финансовые риски. К финансовым рискам, в том числе, могут быть отнесены следующие риски:</w:t>
            </w:r>
          </w:p>
          <w:p w14:paraId="6A513CD2" w14:textId="77777777" w:rsidR="007A5AFC" w:rsidRDefault="007A5AFC" w:rsidP="00216FE1">
            <w:pPr>
              <w:ind w:firstLine="540"/>
              <w:jc w:val="both"/>
              <w:rPr>
                <w:sz w:val="20"/>
                <w:szCs w:val="20"/>
              </w:rPr>
            </w:pPr>
            <w:r>
              <w:rPr>
                <w:sz w:val="20"/>
                <w:szCs w:val="20"/>
              </w:rPr>
              <w:t>-</w:t>
            </w:r>
            <w:r w:rsidR="003F4824" w:rsidRPr="00D471B8">
              <w:rPr>
                <w:sz w:val="20"/>
                <w:szCs w:val="20"/>
              </w:rPr>
              <w:t xml:space="preserve"> Рыночный/ценовой риск, связанный с колебаниями цен активов, указанных в инвестиционной декларации, курсов валют, процентных ставок и пр. вследствие изменения конъюнктуры рынков, в том числе снижения ликвидности. Эти факторы сами по себе находятся под влиянием таких обстоятельств, как неблагоприятная социально-экономическая или политическая ситуация, изменение регуляторной среды, девальвация или существенные колебания курсов обмена валюты, стихийные бедствия.</w:t>
            </w:r>
          </w:p>
          <w:p w14:paraId="2FD38E30" w14:textId="77777777" w:rsidR="007A5AFC" w:rsidRDefault="007A5AFC" w:rsidP="00216FE1">
            <w:pPr>
              <w:ind w:firstLine="540"/>
              <w:jc w:val="both"/>
              <w:rPr>
                <w:sz w:val="20"/>
                <w:szCs w:val="20"/>
              </w:rPr>
            </w:pPr>
            <w:r>
              <w:rPr>
                <w:sz w:val="20"/>
                <w:szCs w:val="20"/>
              </w:rPr>
              <w:t xml:space="preserve">- </w:t>
            </w:r>
            <w:r w:rsidR="003F4824" w:rsidRPr="00D471B8">
              <w:rPr>
                <w:sz w:val="20"/>
                <w:szCs w:val="20"/>
              </w:rPr>
              <w:t>Валютный риск характеризуется возможным неблагоприятным изменением курса рубля или иной валюты, в которой номинирован актив, по отношению к курсу рубля или иной валюты, в которой рассчитывается инвестиционный результат инвестора. При этом негативно может измениться как стоимость активов в результате инфляционного воздействия и снижении реальной покупательной способности активов, так и размер обязательств, исполняемых за счет активов Фонда.</w:t>
            </w:r>
          </w:p>
          <w:p w14:paraId="3F63E2EA" w14:textId="77777777" w:rsidR="007A5AFC" w:rsidRDefault="007A5AFC" w:rsidP="00216FE1">
            <w:pPr>
              <w:ind w:firstLine="540"/>
              <w:jc w:val="both"/>
              <w:rPr>
                <w:sz w:val="20"/>
                <w:szCs w:val="20"/>
              </w:rPr>
            </w:pPr>
            <w:r>
              <w:rPr>
                <w:sz w:val="20"/>
                <w:szCs w:val="20"/>
              </w:rPr>
              <w:t>-</w:t>
            </w:r>
            <w:r w:rsidR="003F4824" w:rsidRPr="00D471B8">
              <w:rPr>
                <w:sz w:val="20"/>
                <w:szCs w:val="20"/>
              </w:rPr>
              <w:t xml:space="preserve"> Процентный риск заключается в потерях, которые Фонд может понести в результате неблагоприятного изменения процентной ставки, влияющей на стоимость вкладов (депозитов). Процентный риск также возникает в случае, если наступление срока исполнения обязательств за счет активов, размещенных в инструменты денежного рынка, под которыми понимаются денежные средства на счетах и во вкладах (депозитах), не совпадает со сроком получения процентного дохода от таких активов. </w:t>
            </w:r>
          </w:p>
          <w:p w14:paraId="4CE37521" w14:textId="77777777" w:rsidR="007A5AFC" w:rsidRDefault="007A5AFC" w:rsidP="00216FE1">
            <w:pPr>
              <w:ind w:firstLine="540"/>
              <w:jc w:val="both"/>
              <w:rPr>
                <w:sz w:val="20"/>
                <w:szCs w:val="20"/>
              </w:rPr>
            </w:pPr>
            <w:r>
              <w:rPr>
                <w:sz w:val="20"/>
                <w:szCs w:val="20"/>
              </w:rPr>
              <w:t xml:space="preserve">- </w:t>
            </w:r>
            <w:r w:rsidR="003F4824" w:rsidRPr="00D471B8">
              <w:rPr>
                <w:sz w:val="20"/>
                <w:szCs w:val="20"/>
              </w:rPr>
              <w:t>Риск ликвидности реализуется при сокращении или отсутствии возможности приобрести или реализовать активы в необходимом объеме и по необходимой цене. При определенных рыночных условиях, если ликвидность рынка неадекватна, может отсутствовать возможность определить стоимость или установить справедливую цену актива, совершить сделку по выгодной цене.</w:t>
            </w:r>
          </w:p>
          <w:p w14:paraId="70FADDBA" w14:textId="77777777" w:rsidR="007A5AFC" w:rsidRDefault="003F4824" w:rsidP="00216FE1">
            <w:pPr>
              <w:ind w:firstLine="540"/>
              <w:jc w:val="both"/>
              <w:rPr>
                <w:sz w:val="20"/>
                <w:szCs w:val="20"/>
              </w:rPr>
            </w:pPr>
            <w:r w:rsidRPr="00D471B8">
              <w:rPr>
                <w:sz w:val="20"/>
                <w:szCs w:val="20"/>
              </w:rPr>
              <w:t xml:space="preserve"> Разные виды рисков могут быть взаимосвязаны между собой, реализация одного риска может изменять уровень или приводить к реализации других рисков. Помимо финансовых и нефинансовых рисков инвестирование в активы, предусмотренные инвестиционной декларацией Фонда, может включать следующие риски: </w:t>
            </w:r>
          </w:p>
          <w:p w14:paraId="3300736C" w14:textId="16EBE710" w:rsidR="007A5AFC" w:rsidRDefault="007A5AFC" w:rsidP="00216FE1">
            <w:pPr>
              <w:ind w:firstLine="540"/>
              <w:jc w:val="both"/>
              <w:rPr>
                <w:sz w:val="20"/>
                <w:szCs w:val="20"/>
              </w:rPr>
            </w:pPr>
            <w:r>
              <w:rPr>
                <w:sz w:val="20"/>
                <w:szCs w:val="20"/>
              </w:rPr>
              <w:t xml:space="preserve">- </w:t>
            </w:r>
            <w:r w:rsidR="003F4824" w:rsidRPr="00D471B8">
              <w:rPr>
                <w:sz w:val="20"/>
                <w:szCs w:val="20"/>
              </w:rPr>
              <w:t>Кредитный риск, связанный с неисполнением должником своих финансовых обязательств или неблагоприятным изменением их стоимости вследствие ухудшения способности должника исполнять такие обязательства</w:t>
            </w:r>
            <w:r w:rsidR="007D3EA4">
              <w:rPr>
                <w:sz w:val="20"/>
                <w:szCs w:val="20"/>
              </w:rPr>
              <w:t>.</w:t>
            </w:r>
            <w:r w:rsidR="00673B80" w:rsidRPr="00673B80">
              <w:rPr>
                <w:sz w:val="20"/>
                <w:szCs w:val="20"/>
              </w:rPr>
              <w:t xml:space="preserve"> </w:t>
            </w:r>
            <w:r w:rsidRPr="007A5AFC">
              <w:rPr>
                <w:sz w:val="20"/>
                <w:szCs w:val="20"/>
              </w:rPr>
              <w:t xml:space="preserve">К числу кредитных </w:t>
            </w:r>
            <w:r>
              <w:rPr>
                <w:sz w:val="20"/>
                <w:szCs w:val="20"/>
              </w:rPr>
              <w:t>рисков, в том числе, относится - р</w:t>
            </w:r>
            <w:r w:rsidRPr="007A5AFC">
              <w:rPr>
                <w:sz w:val="20"/>
                <w:szCs w:val="20"/>
              </w:rPr>
              <w:t>иск дефолта</w:t>
            </w:r>
            <w:r>
              <w:rPr>
                <w:sz w:val="20"/>
                <w:szCs w:val="20"/>
              </w:rPr>
              <w:t>.</w:t>
            </w:r>
            <w:r w:rsidRPr="007A5AFC">
              <w:rPr>
                <w:sz w:val="20"/>
                <w:szCs w:val="20"/>
              </w:rPr>
              <w:t xml:space="preserve"> </w:t>
            </w:r>
            <w:r w:rsidR="003F4824" w:rsidRPr="00D471B8">
              <w:rPr>
                <w:sz w:val="20"/>
                <w:szCs w:val="20"/>
              </w:rPr>
              <w:t>Инвестор несет риск дефолта в отношении активов, входящих в состав Фонда</w:t>
            </w:r>
            <w:r>
              <w:rPr>
                <w:sz w:val="20"/>
                <w:szCs w:val="20"/>
              </w:rPr>
              <w:t>.</w:t>
            </w:r>
            <w:r w:rsidR="003F4824" w:rsidRPr="00D471B8">
              <w:rPr>
                <w:sz w:val="20"/>
                <w:szCs w:val="20"/>
              </w:rPr>
              <w:t xml:space="preserve"> </w:t>
            </w:r>
          </w:p>
          <w:p w14:paraId="39840187" w14:textId="1DAC0263" w:rsidR="007A5AFC" w:rsidRDefault="007A5AFC" w:rsidP="00216FE1">
            <w:pPr>
              <w:ind w:firstLine="540"/>
              <w:jc w:val="both"/>
              <w:rPr>
                <w:sz w:val="20"/>
                <w:szCs w:val="20"/>
              </w:rPr>
            </w:pPr>
            <w:r>
              <w:rPr>
                <w:sz w:val="20"/>
                <w:szCs w:val="20"/>
              </w:rPr>
              <w:t xml:space="preserve">-  </w:t>
            </w:r>
            <w:r w:rsidR="003F4824" w:rsidRPr="00D471B8">
              <w:rPr>
                <w:sz w:val="20"/>
                <w:szCs w:val="20"/>
              </w:rPr>
              <w:t>Риск контрагента - третьего лица проявляется в риске неисполнения обязательств перед Управляющей компанией со стороны контрагентов. Управляющая компания не может гарантировать благие намерения и способность в будущем выполнять принятые на себя обязательства со стороны контрагентов, расчетных банков и прочих третьих лиц, что может привести к потерям клиента, несмотря на предпринимаемые Управляющей компанией усилия по добросовестному выбору вышеперечисленных лиц.</w:t>
            </w:r>
          </w:p>
          <w:p w14:paraId="57595DFF" w14:textId="77777777" w:rsidR="007A5AFC" w:rsidRDefault="003F4824" w:rsidP="00216FE1">
            <w:pPr>
              <w:ind w:firstLine="540"/>
              <w:jc w:val="both"/>
              <w:rPr>
                <w:sz w:val="20"/>
                <w:szCs w:val="20"/>
              </w:rPr>
            </w:pPr>
            <w:r w:rsidRPr="00D471B8">
              <w:rPr>
                <w:sz w:val="20"/>
                <w:szCs w:val="20"/>
              </w:rPr>
              <w:t xml:space="preserve"> </w:t>
            </w:r>
            <w:r w:rsidR="007A5AFC">
              <w:rPr>
                <w:sz w:val="20"/>
                <w:szCs w:val="20"/>
              </w:rPr>
              <w:t xml:space="preserve">  </w:t>
            </w:r>
            <w:r w:rsidRPr="00D471B8">
              <w:rPr>
                <w:sz w:val="20"/>
                <w:szCs w:val="20"/>
              </w:rPr>
              <w:t>Инвестированию в недвижимое имущество присущи описанные выше риски со следующими особенностями. В связи с материальным характером объектов недвижимого имущества процесс эксплуатации сопровождается рисками несоответствующего хозяйственного управления объектом недвижимости и, как следствие, снижения его эксплуатационных характеристик. В результате физического старения и влияния внешних неблагоприятных факторов (природных бедствий, техногенных чрезвычайных ситуаций, в том числе пожаров) происходит уменьшение работоспособности объектов недвижимого имущества. При инвестировании в недвижимое имущество учитываются также следующие принципы:</w:t>
            </w:r>
          </w:p>
          <w:p w14:paraId="3F785A4F" w14:textId="77777777" w:rsidR="007A5AFC" w:rsidRDefault="003F4824" w:rsidP="00216FE1">
            <w:pPr>
              <w:ind w:firstLine="540"/>
              <w:jc w:val="both"/>
              <w:rPr>
                <w:sz w:val="20"/>
                <w:szCs w:val="20"/>
              </w:rPr>
            </w:pPr>
            <w:r w:rsidRPr="00D471B8">
              <w:rPr>
                <w:sz w:val="20"/>
                <w:szCs w:val="20"/>
              </w:rPr>
              <w:t xml:space="preserve"> - невозможность/неспособность эффективного использования, которое подразумевает такое использование объектов недвижимого имущества, которое максимизирует ее продуктивность, что соответствует ее наибольшей стоимости, и которое физически возможно, юридически разрешено и финансово оправданно;</w:t>
            </w:r>
          </w:p>
          <w:p w14:paraId="2019AD9D" w14:textId="77777777" w:rsidR="007A5AFC" w:rsidRDefault="003F4824" w:rsidP="00216FE1">
            <w:pPr>
              <w:ind w:firstLine="540"/>
              <w:jc w:val="both"/>
              <w:rPr>
                <w:sz w:val="20"/>
                <w:szCs w:val="20"/>
              </w:rPr>
            </w:pPr>
            <w:r w:rsidRPr="00D471B8">
              <w:rPr>
                <w:sz w:val="20"/>
                <w:szCs w:val="20"/>
              </w:rPr>
              <w:t xml:space="preserve"> - невозможность/неспособность продажи объекта недвижимого имущества по цене, выше цены инвестирования;</w:t>
            </w:r>
          </w:p>
          <w:p w14:paraId="2ECD750B" w14:textId="629F9B67" w:rsidR="003F4824" w:rsidRPr="00D471B8" w:rsidRDefault="003F4824" w:rsidP="00216FE1">
            <w:pPr>
              <w:ind w:firstLine="540"/>
              <w:jc w:val="both"/>
              <w:rPr>
                <w:sz w:val="20"/>
                <w:szCs w:val="20"/>
              </w:rPr>
            </w:pPr>
            <w:r w:rsidRPr="00D471B8">
              <w:rPr>
                <w:sz w:val="20"/>
                <w:szCs w:val="20"/>
              </w:rPr>
              <w:t xml:space="preserve"> - невозможность/неспособность найти арендаторов на объекты недвижимого имущества. Инвестированию в земельные участки также характерны риски ненадлежащего использования участка относительно его категории, что касается ситуации, когда земельные участки используются не в соответствии с установленным для них целевым назначением. Одним из возможных следствий данного риска является ухудшение качественных свойств участков отдельных категорий. Кроме того, права на земельные участки могут быть прекращены или ограничены (изъятие, реквизиция) в соответствии с законодательством. </w:t>
            </w:r>
          </w:p>
          <w:p w14:paraId="1B0FE078" w14:textId="77777777" w:rsidR="003F4824" w:rsidRPr="00D471B8" w:rsidRDefault="003F4824" w:rsidP="00216FE1">
            <w:pPr>
              <w:ind w:firstLine="540"/>
              <w:jc w:val="both"/>
              <w:rPr>
                <w:sz w:val="20"/>
                <w:szCs w:val="20"/>
              </w:rPr>
            </w:pPr>
            <w:r w:rsidRPr="00D471B8">
              <w:rPr>
                <w:sz w:val="20"/>
                <w:szCs w:val="20"/>
              </w:rPr>
              <w:t xml:space="preserve">Общеизвестна прямая зависимость величины ожидаемой прибыли от уровня принимаемого риска. Оптимальное соотношение уровней риска и ожидаемой прибыли различно и зависит от целого ряда объективных и субъективных факторов. При планировании и проведении операций с инвестиционными паями инвестор всегда должен помнить, что на практике возможности положительного и отрицательного отклонения реального результата от запланированного (или ожидаемого) часто существуют одновременно и реализуются в зависимости от целого ряда конкретных обстоятельств, степень учета которых, собственно, и определяет результативность операций инвестора. Результаты деятельности Управляющей компании в прошлом не являются гарантией доходов Фонда в будущем, и решение о приобретении инвестиционных паев принимается инвестором самостоятельно после ознакомления с настоящими Правилами. </w:t>
            </w:r>
          </w:p>
          <w:p w14:paraId="4B231B48" w14:textId="77777777" w:rsidR="003F4824" w:rsidRPr="00D471B8" w:rsidRDefault="003F4824" w:rsidP="00216FE1">
            <w:pPr>
              <w:jc w:val="both"/>
              <w:rPr>
                <w:sz w:val="20"/>
                <w:szCs w:val="20"/>
              </w:rPr>
            </w:pPr>
            <w:r w:rsidRPr="00D471B8">
              <w:rPr>
                <w:sz w:val="20"/>
                <w:szCs w:val="20"/>
              </w:rPr>
              <w:t>Управляющая компания оценивает высокую степень влияния рисков, описание которых содержится в инвестиционной декларации, в случае их реализации на результаты инвестирования. Приведенные сведения отражают точку зрения и собственные оценки Управляющей компании и в силу этого не являются исчерпывающими.</w:t>
            </w:r>
          </w:p>
          <w:p w14:paraId="1CDA8222" w14:textId="77777777" w:rsidR="003F4824" w:rsidRPr="00D524FF" w:rsidRDefault="003F4824" w:rsidP="00216FE1">
            <w:pPr>
              <w:ind w:firstLine="540"/>
              <w:jc w:val="both"/>
              <w:rPr>
                <w:sz w:val="22"/>
                <w:szCs w:val="22"/>
              </w:rPr>
            </w:pPr>
          </w:p>
        </w:tc>
      </w:tr>
    </w:tbl>
    <w:p w14:paraId="0F0FA802" w14:textId="77777777" w:rsidR="003F4824" w:rsidRDefault="003F4824" w:rsidP="003F4824">
      <w:pPr>
        <w:ind w:left="708" w:firstLine="708"/>
      </w:pPr>
    </w:p>
    <w:p w14:paraId="153ABA6C" w14:textId="77777777" w:rsidR="003F4824" w:rsidRDefault="003F4824" w:rsidP="003F4824">
      <w:pPr>
        <w:ind w:left="708" w:firstLine="708"/>
      </w:pPr>
    </w:p>
    <w:p w14:paraId="2F144E75" w14:textId="77777777" w:rsidR="00CA0B33" w:rsidRDefault="00CA0B33" w:rsidP="00DF3755">
      <w:pPr>
        <w:ind w:left="708" w:firstLine="708"/>
        <w:rPr>
          <w:sz w:val="20"/>
          <w:szCs w:val="20"/>
        </w:rPr>
      </w:pPr>
    </w:p>
    <w:p w14:paraId="03BC9C00" w14:textId="77777777" w:rsidR="00CC79A1" w:rsidRDefault="00CC79A1" w:rsidP="00CC79A1">
      <w:pPr>
        <w:ind w:left="708" w:firstLine="708"/>
      </w:pPr>
      <w:r>
        <w:t>Г</w:t>
      </w:r>
      <w:r w:rsidRPr="00436DB5">
        <w:t>енеральный директор</w:t>
      </w:r>
    </w:p>
    <w:p w14:paraId="75B95F19" w14:textId="77777777" w:rsidR="00CC79A1" w:rsidRPr="00DF3755" w:rsidRDefault="00CC79A1" w:rsidP="00CC79A1">
      <w:pPr>
        <w:ind w:left="708" w:firstLine="708"/>
        <w:rPr>
          <w:b/>
          <w:bCs/>
          <w:sz w:val="22"/>
          <w:szCs w:val="22"/>
        </w:rPr>
      </w:pPr>
      <w:r w:rsidRPr="00436DB5">
        <w:t>ООО УК «Прогресс-Финанс»</w:t>
      </w:r>
      <w:r w:rsidRPr="00436DB5">
        <w:tab/>
      </w:r>
      <w:r w:rsidRPr="00E0106E">
        <w:rPr>
          <w:sz w:val="22"/>
          <w:szCs w:val="22"/>
        </w:rPr>
        <w:tab/>
      </w:r>
      <w:r w:rsidRPr="00E0106E">
        <w:rPr>
          <w:sz w:val="22"/>
          <w:szCs w:val="22"/>
        </w:rPr>
        <w:tab/>
      </w:r>
      <w:r w:rsidRPr="00E0106E">
        <w:rPr>
          <w:sz w:val="22"/>
          <w:szCs w:val="22"/>
        </w:rPr>
        <w:tab/>
      </w:r>
      <w:r w:rsidRPr="00436DB5">
        <w:t xml:space="preserve">______________________________/И.С. Ермилов/         </w:t>
      </w:r>
      <w:r w:rsidRPr="005E6DAB">
        <w:t xml:space="preserve">             </w:t>
      </w:r>
      <w:proofErr w:type="spellStart"/>
      <w:r w:rsidRPr="00436DB5">
        <w:t>М.п</w:t>
      </w:r>
      <w:proofErr w:type="spellEnd"/>
      <w:r w:rsidRPr="00436DB5">
        <w:t>.</w:t>
      </w:r>
    </w:p>
    <w:p w14:paraId="2FCA288A" w14:textId="1286C2F1" w:rsidR="00CA0B33" w:rsidRDefault="00CA0B33" w:rsidP="007B0C89">
      <w:pPr>
        <w:rPr>
          <w:sz w:val="20"/>
          <w:szCs w:val="20"/>
        </w:rPr>
      </w:pPr>
    </w:p>
    <w:p w14:paraId="2021D5F5" w14:textId="214F49B6" w:rsidR="007B0C89" w:rsidRDefault="007B0C89" w:rsidP="007B0C89">
      <w:pPr>
        <w:ind w:left="708" w:firstLine="708"/>
        <w:rPr>
          <w:sz w:val="20"/>
          <w:szCs w:val="20"/>
        </w:rPr>
      </w:pPr>
      <w:r>
        <w:rPr>
          <w:sz w:val="20"/>
          <w:szCs w:val="20"/>
        </w:rPr>
        <w:t xml:space="preserve">        </w:t>
      </w:r>
    </w:p>
    <w:p w14:paraId="40D01F13" w14:textId="05B3A314" w:rsidR="00742F7D" w:rsidRDefault="00742F7D" w:rsidP="00742F7D">
      <w:pPr>
        <w:ind w:left="708" w:firstLine="708"/>
      </w:pPr>
      <w:r>
        <w:rPr>
          <w:sz w:val="20"/>
          <w:szCs w:val="20"/>
        </w:rPr>
        <w:t xml:space="preserve">.                                                                                                                            </w:t>
      </w:r>
    </w:p>
    <w:p w14:paraId="2AF3CC07" w14:textId="317F2F88" w:rsidR="00CA0B33" w:rsidRDefault="00DF3755" w:rsidP="00C00B8D">
      <w:r w:rsidRPr="00436DB5">
        <w:t xml:space="preserve">      </w:t>
      </w:r>
      <w:r w:rsidRPr="005E6DAB">
        <w:t xml:space="preserve">            </w:t>
      </w:r>
      <w:r w:rsidR="006559BD">
        <w:t xml:space="preserve">                                                                                     </w:t>
      </w:r>
      <w:r w:rsidR="002F1E0A">
        <w:t xml:space="preserve">                                                             </w:t>
      </w:r>
    </w:p>
    <w:p w14:paraId="55229DE5" w14:textId="77777777" w:rsidR="00742F7D" w:rsidRDefault="00742F7D" w:rsidP="00DF3755">
      <w:pPr>
        <w:ind w:left="708" w:firstLine="708"/>
      </w:pPr>
      <w:r>
        <w:t xml:space="preserve">                       </w:t>
      </w:r>
    </w:p>
    <w:p w14:paraId="749EE04B" w14:textId="5AC6FB3A" w:rsidR="00DF3755" w:rsidRPr="00DF3755" w:rsidRDefault="00CA0B33" w:rsidP="00DF3755">
      <w:pPr>
        <w:ind w:left="708" w:firstLine="708"/>
        <w:rPr>
          <w:b/>
          <w:bCs/>
          <w:sz w:val="22"/>
          <w:szCs w:val="22"/>
        </w:rPr>
      </w:pPr>
      <w:r>
        <w:t xml:space="preserve">                                                                                                    </w:t>
      </w:r>
      <w:r w:rsidR="006559BD">
        <w:t xml:space="preserve">                                    </w:t>
      </w:r>
      <w:r w:rsidR="00DF3755" w:rsidRPr="005E6DAB">
        <w:t xml:space="preserve"> </w:t>
      </w:r>
      <w:r w:rsidR="006559BD">
        <w:t xml:space="preserve">                                                                                                                                                    </w:t>
      </w:r>
    </w:p>
    <w:sectPr w:rsidR="00DF3755" w:rsidRPr="00DF3755" w:rsidSect="00385FF4">
      <w:headerReference w:type="default" r:id="rId8"/>
      <w:footerReference w:type="default" r:id="rId9"/>
      <w:pgSz w:w="16838" w:h="11906" w:orient="landscape" w:code="9"/>
      <w:pgMar w:top="993" w:right="962" w:bottom="851" w:left="567" w:header="709" w:footer="28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276415" w14:textId="77777777" w:rsidR="000C729F" w:rsidRDefault="000C729F">
      <w:r>
        <w:separator/>
      </w:r>
    </w:p>
  </w:endnote>
  <w:endnote w:type="continuationSeparator" w:id="0">
    <w:p w14:paraId="01340F2B" w14:textId="77777777" w:rsidR="000C729F" w:rsidRDefault="000C7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702FE" w14:textId="08F7D155" w:rsidR="00CF2AFE" w:rsidRPr="005620A6" w:rsidRDefault="00CF2AFE" w:rsidP="00636A47">
    <w:pPr>
      <w:pStyle w:val="a4"/>
      <w:framePr w:wrap="auto" w:vAnchor="text" w:hAnchor="margin" w:xAlign="right" w:y="1"/>
      <w:jc w:val="right"/>
      <w:rPr>
        <w:rStyle w:val="a6"/>
        <w:sz w:val="20"/>
        <w:szCs w:val="20"/>
      </w:rPr>
    </w:pPr>
    <w:r w:rsidRPr="005620A6">
      <w:rPr>
        <w:rStyle w:val="a6"/>
        <w:sz w:val="20"/>
        <w:szCs w:val="20"/>
      </w:rPr>
      <w:fldChar w:fldCharType="begin"/>
    </w:r>
    <w:r w:rsidRPr="005620A6">
      <w:rPr>
        <w:rStyle w:val="a6"/>
        <w:sz w:val="20"/>
        <w:szCs w:val="20"/>
      </w:rPr>
      <w:instrText xml:space="preserve">PAGE  </w:instrText>
    </w:r>
    <w:r w:rsidRPr="005620A6">
      <w:rPr>
        <w:rStyle w:val="a6"/>
        <w:sz w:val="20"/>
        <w:szCs w:val="20"/>
      </w:rPr>
      <w:fldChar w:fldCharType="separate"/>
    </w:r>
    <w:r w:rsidR="00E10F8E">
      <w:rPr>
        <w:rStyle w:val="a6"/>
        <w:noProof/>
        <w:sz w:val="20"/>
        <w:szCs w:val="20"/>
      </w:rPr>
      <w:t>7</w:t>
    </w:r>
    <w:r w:rsidRPr="005620A6">
      <w:rPr>
        <w:rStyle w:val="a6"/>
        <w:sz w:val="20"/>
        <w:szCs w:val="20"/>
      </w:rPr>
      <w:fldChar w:fldCharType="end"/>
    </w:r>
  </w:p>
  <w:p w14:paraId="18EAC0AA" w14:textId="77777777" w:rsidR="00CF2AFE" w:rsidRDefault="00CF2AFE" w:rsidP="00636A47">
    <w:pPr>
      <w:pStyle w:val="a4"/>
      <w:framePr w:wrap="auto" w:vAnchor="text" w:hAnchor="margin" w:xAlign="right" w:y="1"/>
      <w:ind w:right="360"/>
      <w:rPr>
        <w:rStyle w:val="a6"/>
      </w:rPr>
    </w:pPr>
  </w:p>
  <w:p w14:paraId="00EDECF0" w14:textId="77777777" w:rsidR="00CF2AFE" w:rsidRDefault="00CF2AFE" w:rsidP="00636A47">
    <w:pPr>
      <w:pStyle w:val="a4"/>
      <w:framePr w:wrap="auto" w:vAnchor="text" w:hAnchor="margin" w:xAlign="center" w:y="1"/>
      <w:ind w:right="360"/>
      <w:rPr>
        <w:rStyle w:val="a6"/>
      </w:rPr>
    </w:pPr>
  </w:p>
  <w:p w14:paraId="42A768FC" w14:textId="77777777" w:rsidR="00CF2AFE" w:rsidRDefault="00CF2AFE">
    <w:pPr>
      <w:pStyle w:val="a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5739D" w14:textId="77777777" w:rsidR="000C729F" w:rsidRDefault="000C729F">
      <w:r>
        <w:separator/>
      </w:r>
    </w:p>
  </w:footnote>
  <w:footnote w:type="continuationSeparator" w:id="0">
    <w:p w14:paraId="05524A93" w14:textId="77777777" w:rsidR="000C729F" w:rsidRDefault="000C729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9ABBD" w14:textId="77777777" w:rsidR="00CF2AFE" w:rsidRDefault="00CF2AFE" w:rsidP="00636A47">
    <w:pPr>
      <w:pStyle w:val="a7"/>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C2FAE"/>
    <w:multiLevelType w:val="hybridMultilevel"/>
    <w:tmpl w:val="AAEE1320"/>
    <w:lvl w:ilvl="0" w:tplc="2DFC9D98">
      <w:start w:val="87"/>
      <w:numFmt w:val="decimal"/>
      <w:lvlText w:val="%1."/>
      <w:lvlJc w:val="left"/>
      <w:pPr>
        <w:ind w:left="108" w:hanging="369"/>
      </w:pPr>
      <w:rPr>
        <w:rFonts w:ascii="Times New Roman" w:eastAsia="Times New Roman" w:hAnsi="Times New Roman" w:cs="Times New Roman" w:hint="default"/>
        <w:b w:val="0"/>
        <w:bCs w:val="0"/>
        <w:i w:val="0"/>
        <w:iCs w:val="0"/>
        <w:spacing w:val="0"/>
        <w:w w:val="99"/>
        <w:sz w:val="20"/>
        <w:szCs w:val="20"/>
      </w:rPr>
    </w:lvl>
    <w:lvl w:ilvl="1" w:tplc="47CA79A6">
      <w:start w:val="1"/>
      <w:numFmt w:val="decimal"/>
      <w:lvlText w:val="%2)"/>
      <w:lvlJc w:val="left"/>
      <w:pPr>
        <w:ind w:left="108" w:hanging="237"/>
      </w:pPr>
      <w:rPr>
        <w:rFonts w:cs="Times New Roman" w:hint="default"/>
        <w:spacing w:val="0"/>
        <w:w w:val="99"/>
      </w:rPr>
    </w:lvl>
    <w:lvl w:ilvl="2" w:tplc="6B00486E">
      <w:numFmt w:val="bullet"/>
      <w:lvlText w:val="•"/>
      <w:lvlJc w:val="left"/>
      <w:pPr>
        <w:ind w:left="1056" w:hanging="237"/>
      </w:pPr>
      <w:rPr>
        <w:rFonts w:hint="default"/>
      </w:rPr>
    </w:lvl>
    <w:lvl w:ilvl="3" w:tplc="049ADA2C">
      <w:numFmt w:val="bullet"/>
      <w:lvlText w:val="•"/>
      <w:lvlJc w:val="left"/>
      <w:pPr>
        <w:ind w:left="1534" w:hanging="237"/>
      </w:pPr>
      <w:rPr>
        <w:rFonts w:hint="default"/>
      </w:rPr>
    </w:lvl>
    <w:lvl w:ilvl="4" w:tplc="517427B6">
      <w:numFmt w:val="bullet"/>
      <w:lvlText w:val="•"/>
      <w:lvlJc w:val="left"/>
      <w:pPr>
        <w:ind w:left="2012" w:hanging="237"/>
      </w:pPr>
      <w:rPr>
        <w:rFonts w:hint="default"/>
      </w:rPr>
    </w:lvl>
    <w:lvl w:ilvl="5" w:tplc="D2489B04">
      <w:numFmt w:val="bullet"/>
      <w:lvlText w:val="•"/>
      <w:lvlJc w:val="left"/>
      <w:pPr>
        <w:ind w:left="2490" w:hanging="237"/>
      </w:pPr>
      <w:rPr>
        <w:rFonts w:hint="default"/>
      </w:rPr>
    </w:lvl>
    <w:lvl w:ilvl="6" w:tplc="7D4A0BC4">
      <w:numFmt w:val="bullet"/>
      <w:lvlText w:val="•"/>
      <w:lvlJc w:val="left"/>
      <w:pPr>
        <w:ind w:left="2968" w:hanging="237"/>
      </w:pPr>
      <w:rPr>
        <w:rFonts w:hint="default"/>
      </w:rPr>
    </w:lvl>
    <w:lvl w:ilvl="7" w:tplc="9EF6C1EC">
      <w:numFmt w:val="bullet"/>
      <w:lvlText w:val="•"/>
      <w:lvlJc w:val="left"/>
      <w:pPr>
        <w:ind w:left="3446" w:hanging="237"/>
      </w:pPr>
      <w:rPr>
        <w:rFonts w:hint="default"/>
      </w:rPr>
    </w:lvl>
    <w:lvl w:ilvl="8" w:tplc="186E75B6">
      <w:numFmt w:val="bullet"/>
      <w:lvlText w:val="•"/>
      <w:lvlJc w:val="left"/>
      <w:pPr>
        <w:ind w:left="3924" w:hanging="237"/>
      </w:pPr>
      <w:rPr>
        <w:rFonts w:hint="default"/>
      </w:rPr>
    </w:lvl>
  </w:abstractNum>
  <w:abstractNum w:abstractNumId="1" w15:restartNumberingAfterBreak="0">
    <w:nsid w:val="01EE3E04"/>
    <w:multiLevelType w:val="hybridMultilevel"/>
    <w:tmpl w:val="BF02430C"/>
    <w:lvl w:ilvl="0" w:tplc="87B83D20">
      <w:start w:val="56"/>
      <w:numFmt w:val="decimal"/>
      <w:lvlText w:val="%1."/>
      <w:lvlJc w:val="left"/>
      <w:pPr>
        <w:ind w:left="107" w:hanging="326"/>
      </w:pPr>
      <w:rPr>
        <w:rFonts w:ascii="Times New Roman" w:eastAsia="Times New Roman" w:hAnsi="Times New Roman" w:cs="Times New Roman" w:hint="default"/>
        <w:b w:val="0"/>
        <w:bCs w:val="0"/>
        <w:i w:val="0"/>
        <w:iCs w:val="0"/>
        <w:spacing w:val="0"/>
        <w:w w:val="99"/>
        <w:sz w:val="20"/>
        <w:szCs w:val="20"/>
      </w:rPr>
    </w:lvl>
    <w:lvl w:ilvl="1" w:tplc="814CAD98">
      <w:start w:val="1"/>
      <w:numFmt w:val="decimal"/>
      <w:lvlText w:val="%2)"/>
      <w:lvlJc w:val="left"/>
      <w:pPr>
        <w:ind w:left="417" w:hanging="310"/>
      </w:pPr>
      <w:rPr>
        <w:rFonts w:cs="Times New Roman" w:hint="default"/>
        <w:spacing w:val="0"/>
        <w:w w:val="99"/>
      </w:rPr>
    </w:lvl>
    <w:lvl w:ilvl="2" w:tplc="1960F01E">
      <w:numFmt w:val="bullet"/>
      <w:lvlText w:val="•"/>
      <w:lvlJc w:val="left"/>
      <w:pPr>
        <w:ind w:left="931" w:hanging="310"/>
      </w:pPr>
      <w:rPr>
        <w:rFonts w:hint="default"/>
      </w:rPr>
    </w:lvl>
    <w:lvl w:ilvl="3" w:tplc="774E54DC">
      <w:numFmt w:val="bullet"/>
      <w:lvlText w:val="•"/>
      <w:lvlJc w:val="left"/>
      <w:pPr>
        <w:ind w:left="1443" w:hanging="310"/>
      </w:pPr>
      <w:rPr>
        <w:rFonts w:hint="default"/>
      </w:rPr>
    </w:lvl>
    <w:lvl w:ilvl="4" w:tplc="D7C42458">
      <w:numFmt w:val="bullet"/>
      <w:lvlText w:val="•"/>
      <w:lvlJc w:val="left"/>
      <w:pPr>
        <w:ind w:left="1955" w:hanging="310"/>
      </w:pPr>
      <w:rPr>
        <w:rFonts w:hint="default"/>
      </w:rPr>
    </w:lvl>
    <w:lvl w:ilvl="5" w:tplc="A7A4DE82">
      <w:numFmt w:val="bullet"/>
      <w:lvlText w:val="•"/>
      <w:lvlJc w:val="left"/>
      <w:pPr>
        <w:ind w:left="2467" w:hanging="310"/>
      </w:pPr>
      <w:rPr>
        <w:rFonts w:hint="default"/>
      </w:rPr>
    </w:lvl>
    <w:lvl w:ilvl="6" w:tplc="A428FC90">
      <w:numFmt w:val="bullet"/>
      <w:lvlText w:val="•"/>
      <w:lvlJc w:val="left"/>
      <w:pPr>
        <w:ind w:left="2978" w:hanging="310"/>
      </w:pPr>
      <w:rPr>
        <w:rFonts w:hint="default"/>
      </w:rPr>
    </w:lvl>
    <w:lvl w:ilvl="7" w:tplc="B6D6D922">
      <w:numFmt w:val="bullet"/>
      <w:lvlText w:val="•"/>
      <w:lvlJc w:val="left"/>
      <w:pPr>
        <w:ind w:left="3490" w:hanging="310"/>
      </w:pPr>
      <w:rPr>
        <w:rFonts w:hint="default"/>
      </w:rPr>
    </w:lvl>
    <w:lvl w:ilvl="8" w:tplc="7C74D21A">
      <w:numFmt w:val="bullet"/>
      <w:lvlText w:val="•"/>
      <w:lvlJc w:val="left"/>
      <w:pPr>
        <w:ind w:left="4002" w:hanging="310"/>
      </w:pPr>
      <w:rPr>
        <w:rFonts w:hint="default"/>
      </w:rPr>
    </w:lvl>
  </w:abstractNum>
  <w:abstractNum w:abstractNumId="2" w15:restartNumberingAfterBreak="0">
    <w:nsid w:val="03661268"/>
    <w:multiLevelType w:val="hybridMultilevel"/>
    <w:tmpl w:val="B7A6D99E"/>
    <w:lvl w:ilvl="0" w:tplc="3D5E91F4">
      <w:start w:val="70"/>
      <w:numFmt w:val="decimal"/>
      <w:lvlText w:val="%1."/>
      <w:lvlJc w:val="left"/>
      <w:pPr>
        <w:ind w:left="107" w:hanging="398"/>
      </w:pPr>
      <w:rPr>
        <w:rFonts w:ascii="Times New Roman" w:eastAsia="Times New Roman" w:hAnsi="Times New Roman" w:cs="Times New Roman" w:hint="default"/>
        <w:b w:val="0"/>
        <w:bCs w:val="0"/>
        <w:i w:val="0"/>
        <w:iCs w:val="0"/>
        <w:spacing w:val="0"/>
        <w:w w:val="99"/>
        <w:sz w:val="20"/>
        <w:szCs w:val="20"/>
      </w:rPr>
    </w:lvl>
    <w:lvl w:ilvl="1" w:tplc="D0F4A052">
      <w:numFmt w:val="bullet"/>
      <w:lvlText w:val="-"/>
      <w:lvlJc w:val="left"/>
      <w:pPr>
        <w:ind w:left="107" w:hanging="149"/>
      </w:pPr>
      <w:rPr>
        <w:rFonts w:ascii="Times New Roman" w:eastAsia="Times New Roman" w:hAnsi="Times New Roman" w:hint="default"/>
        <w:b w:val="0"/>
        <w:i w:val="0"/>
        <w:spacing w:val="0"/>
        <w:w w:val="99"/>
        <w:sz w:val="20"/>
      </w:rPr>
    </w:lvl>
    <w:lvl w:ilvl="2" w:tplc="11A0673C">
      <w:numFmt w:val="bullet"/>
      <w:lvlText w:val="•"/>
      <w:lvlJc w:val="left"/>
      <w:pPr>
        <w:ind w:left="1085" w:hanging="149"/>
      </w:pPr>
      <w:rPr>
        <w:rFonts w:hint="default"/>
      </w:rPr>
    </w:lvl>
    <w:lvl w:ilvl="3" w:tplc="C32CF562">
      <w:numFmt w:val="bullet"/>
      <w:lvlText w:val="•"/>
      <w:lvlJc w:val="left"/>
      <w:pPr>
        <w:ind w:left="1577" w:hanging="149"/>
      </w:pPr>
      <w:rPr>
        <w:rFonts w:hint="default"/>
      </w:rPr>
    </w:lvl>
    <w:lvl w:ilvl="4" w:tplc="77543414">
      <w:numFmt w:val="bullet"/>
      <w:lvlText w:val="•"/>
      <w:lvlJc w:val="left"/>
      <w:pPr>
        <w:ind w:left="2070" w:hanging="149"/>
      </w:pPr>
      <w:rPr>
        <w:rFonts w:hint="default"/>
      </w:rPr>
    </w:lvl>
    <w:lvl w:ilvl="5" w:tplc="48647A50">
      <w:numFmt w:val="bullet"/>
      <w:lvlText w:val="•"/>
      <w:lvlJc w:val="left"/>
      <w:pPr>
        <w:ind w:left="2563" w:hanging="149"/>
      </w:pPr>
      <w:rPr>
        <w:rFonts w:hint="default"/>
      </w:rPr>
    </w:lvl>
    <w:lvl w:ilvl="6" w:tplc="E56CDC30">
      <w:numFmt w:val="bullet"/>
      <w:lvlText w:val="•"/>
      <w:lvlJc w:val="left"/>
      <w:pPr>
        <w:ind w:left="3055" w:hanging="149"/>
      </w:pPr>
      <w:rPr>
        <w:rFonts w:hint="default"/>
      </w:rPr>
    </w:lvl>
    <w:lvl w:ilvl="7" w:tplc="9ABEE52E">
      <w:numFmt w:val="bullet"/>
      <w:lvlText w:val="•"/>
      <w:lvlJc w:val="left"/>
      <w:pPr>
        <w:ind w:left="3548" w:hanging="149"/>
      </w:pPr>
      <w:rPr>
        <w:rFonts w:hint="default"/>
      </w:rPr>
    </w:lvl>
    <w:lvl w:ilvl="8" w:tplc="DA905CCC">
      <w:numFmt w:val="bullet"/>
      <w:lvlText w:val="•"/>
      <w:lvlJc w:val="left"/>
      <w:pPr>
        <w:ind w:left="4040" w:hanging="149"/>
      </w:pPr>
      <w:rPr>
        <w:rFonts w:hint="default"/>
      </w:rPr>
    </w:lvl>
  </w:abstractNum>
  <w:abstractNum w:abstractNumId="3" w15:restartNumberingAfterBreak="0">
    <w:nsid w:val="092E490E"/>
    <w:multiLevelType w:val="hybridMultilevel"/>
    <w:tmpl w:val="D62CEBB8"/>
    <w:lvl w:ilvl="0" w:tplc="9DA696D2">
      <w:numFmt w:val="bullet"/>
      <w:lvlText w:val="-"/>
      <w:lvlJc w:val="left"/>
      <w:pPr>
        <w:ind w:left="107" w:hanging="222"/>
      </w:pPr>
      <w:rPr>
        <w:rFonts w:ascii="Times New Roman" w:eastAsia="Times New Roman" w:hAnsi="Times New Roman" w:hint="default"/>
        <w:b w:val="0"/>
        <w:i w:val="0"/>
        <w:spacing w:val="0"/>
        <w:w w:val="99"/>
        <w:sz w:val="20"/>
      </w:rPr>
    </w:lvl>
    <w:lvl w:ilvl="1" w:tplc="7F58F51A">
      <w:numFmt w:val="bullet"/>
      <w:lvlText w:val="•"/>
      <w:lvlJc w:val="left"/>
      <w:pPr>
        <w:ind w:left="592" w:hanging="222"/>
      </w:pPr>
      <w:rPr>
        <w:rFonts w:hint="default"/>
      </w:rPr>
    </w:lvl>
    <w:lvl w:ilvl="2" w:tplc="9E244504">
      <w:numFmt w:val="bullet"/>
      <w:lvlText w:val="•"/>
      <w:lvlJc w:val="left"/>
      <w:pPr>
        <w:ind w:left="1085" w:hanging="222"/>
      </w:pPr>
      <w:rPr>
        <w:rFonts w:hint="default"/>
      </w:rPr>
    </w:lvl>
    <w:lvl w:ilvl="3" w:tplc="38E4F6F0">
      <w:numFmt w:val="bullet"/>
      <w:lvlText w:val="•"/>
      <w:lvlJc w:val="left"/>
      <w:pPr>
        <w:ind w:left="1577" w:hanging="222"/>
      </w:pPr>
      <w:rPr>
        <w:rFonts w:hint="default"/>
      </w:rPr>
    </w:lvl>
    <w:lvl w:ilvl="4" w:tplc="D910DB6C">
      <w:numFmt w:val="bullet"/>
      <w:lvlText w:val="•"/>
      <w:lvlJc w:val="left"/>
      <w:pPr>
        <w:ind w:left="2070" w:hanging="222"/>
      </w:pPr>
      <w:rPr>
        <w:rFonts w:hint="default"/>
      </w:rPr>
    </w:lvl>
    <w:lvl w:ilvl="5" w:tplc="58B8DC9E">
      <w:numFmt w:val="bullet"/>
      <w:lvlText w:val="•"/>
      <w:lvlJc w:val="left"/>
      <w:pPr>
        <w:ind w:left="2563" w:hanging="222"/>
      </w:pPr>
      <w:rPr>
        <w:rFonts w:hint="default"/>
      </w:rPr>
    </w:lvl>
    <w:lvl w:ilvl="6" w:tplc="50229782">
      <w:numFmt w:val="bullet"/>
      <w:lvlText w:val="•"/>
      <w:lvlJc w:val="left"/>
      <w:pPr>
        <w:ind w:left="3055" w:hanging="222"/>
      </w:pPr>
      <w:rPr>
        <w:rFonts w:hint="default"/>
      </w:rPr>
    </w:lvl>
    <w:lvl w:ilvl="7" w:tplc="D498515C">
      <w:numFmt w:val="bullet"/>
      <w:lvlText w:val="•"/>
      <w:lvlJc w:val="left"/>
      <w:pPr>
        <w:ind w:left="3548" w:hanging="222"/>
      </w:pPr>
      <w:rPr>
        <w:rFonts w:hint="default"/>
      </w:rPr>
    </w:lvl>
    <w:lvl w:ilvl="8" w:tplc="B7C0B7F2">
      <w:numFmt w:val="bullet"/>
      <w:lvlText w:val="•"/>
      <w:lvlJc w:val="left"/>
      <w:pPr>
        <w:ind w:left="4040" w:hanging="222"/>
      </w:pPr>
      <w:rPr>
        <w:rFonts w:hint="default"/>
      </w:rPr>
    </w:lvl>
  </w:abstractNum>
  <w:abstractNum w:abstractNumId="4" w15:restartNumberingAfterBreak="0">
    <w:nsid w:val="12C23F1D"/>
    <w:multiLevelType w:val="multilevel"/>
    <w:tmpl w:val="1E8091FC"/>
    <w:lvl w:ilvl="0">
      <w:start w:val="122"/>
      <w:numFmt w:val="decimal"/>
      <w:lvlText w:val="%1."/>
      <w:lvlJc w:val="left"/>
      <w:pPr>
        <w:ind w:left="510" w:hanging="510"/>
      </w:pPr>
      <w:rPr>
        <w:rFonts w:cs="Times New Roman" w:hint="default"/>
      </w:rPr>
    </w:lvl>
    <w:lvl w:ilvl="1">
      <w:start w:val="1"/>
      <w:numFmt w:val="decimal"/>
      <w:lvlText w:val="%1.%2."/>
      <w:lvlJc w:val="left"/>
      <w:pPr>
        <w:ind w:left="617" w:hanging="510"/>
      </w:pPr>
      <w:rPr>
        <w:rFonts w:cs="Times New Roman" w:hint="default"/>
      </w:rPr>
    </w:lvl>
    <w:lvl w:ilvl="2">
      <w:start w:val="1"/>
      <w:numFmt w:val="decimal"/>
      <w:lvlText w:val="%1.%2.%3."/>
      <w:lvlJc w:val="left"/>
      <w:pPr>
        <w:ind w:left="934" w:hanging="720"/>
      </w:pPr>
      <w:rPr>
        <w:rFonts w:cs="Times New Roman" w:hint="default"/>
      </w:rPr>
    </w:lvl>
    <w:lvl w:ilvl="3">
      <w:start w:val="1"/>
      <w:numFmt w:val="decimal"/>
      <w:lvlText w:val="%1.%2.%3.%4."/>
      <w:lvlJc w:val="left"/>
      <w:pPr>
        <w:ind w:left="1041" w:hanging="720"/>
      </w:pPr>
      <w:rPr>
        <w:rFonts w:cs="Times New Roman" w:hint="default"/>
      </w:rPr>
    </w:lvl>
    <w:lvl w:ilvl="4">
      <w:start w:val="1"/>
      <w:numFmt w:val="decimal"/>
      <w:lvlText w:val="%1.%2.%3.%4.%5."/>
      <w:lvlJc w:val="left"/>
      <w:pPr>
        <w:ind w:left="1508" w:hanging="1080"/>
      </w:pPr>
      <w:rPr>
        <w:rFonts w:cs="Times New Roman" w:hint="default"/>
      </w:rPr>
    </w:lvl>
    <w:lvl w:ilvl="5">
      <w:start w:val="1"/>
      <w:numFmt w:val="decimal"/>
      <w:lvlText w:val="%1.%2.%3.%4.%5.%6."/>
      <w:lvlJc w:val="left"/>
      <w:pPr>
        <w:ind w:left="1615" w:hanging="1080"/>
      </w:pPr>
      <w:rPr>
        <w:rFonts w:cs="Times New Roman" w:hint="default"/>
      </w:rPr>
    </w:lvl>
    <w:lvl w:ilvl="6">
      <w:start w:val="1"/>
      <w:numFmt w:val="decimal"/>
      <w:lvlText w:val="%1.%2.%3.%4.%5.%6.%7."/>
      <w:lvlJc w:val="left"/>
      <w:pPr>
        <w:ind w:left="1722" w:hanging="1080"/>
      </w:pPr>
      <w:rPr>
        <w:rFonts w:cs="Times New Roman" w:hint="default"/>
      </w:rPr>
    </w:lvl>
    <w:lvl w:ilvl="7">
      <w:start w:val="1"/>
      <w:numFmt w:val="decimal"/>
      <w:lvlText w:val="%1.%2.%3.%4.%5.%6.%7.%8."/>
      <w:lvlJc w:val="left"/>
      <w:pPr>
        <w:ind w:left="2189" w:hanging="1440"/>
      </w:pPr>
      <w:rPr>
        <w:rFonts w:cs="Times New Roman" w:hint="default"/>
      </w:rPr>
    </w:lvl>
    <w:lvl w:ilvl="8">
      <w:start w:val="1"/>
      <w:numFmt w:val="decimal"/>
      <w:lvlText w:val="%1.%2.%3.%4.%5.%6.%7.%8.%9."/>
      <w:lvlJc w:val="left"/>
      <w:pPr>
        <w:ind w:left="2296" w:hanging="1440"/>
      </w:pPr>
      <w:rPr>
        <w:rFonts w:cs="Times New Roman" w:hint="default"/>
      </w:rPr>
    </w:lvl>
  </w:abstractNum>
  <w:abstractNum w:abstractNumId="5" w15:restartNumberingAfterBreak="0">
    <w:nsid w:val="168820BC"/>
    <w:multiLevelType w:val="hybridMultilevel"/>
    <w:tmpl w:val="F65CE8F0"/>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1F820181"/>
    <w:multiLevelType w:val="hybridMultilevel"/>
    <w:tmpl w:val="E4F677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A20477"/>
    <w:multiLevelType w:val="hybridMultilevel"/>
    <w:tmpl w:val="D5047AC2"/>
    <w:lvl w:ilvl="0" w:tplc="00C4C04E">
      <w:start w:val="90"/>
      <w:numFmt w:val="decimal"/>
      <w:lvlText w:val="%1."/>
      <w:lvlJc w:val="left"/>
      <w:pPr>
        <w:ind w:left="107" w:hanging="457"/>
      </w:pPr>
      <w:rPr>
        <w:rFonts w:ascii="Times New Roman" w:eastAsia="Times New Roman" w:hAnsi="Times New Roman" w:cs="Times New Roman" w:hint="default"/>
        <w:b w:val="0"/>
        <w:bCs w:val="0"/>
        <w:i w:val="0"/>
        <w:iCs w:val="0"/>
        <w:spacing w:val="0"/>
        <w:w w:val="99"/>
        <w:sz w:val="20"/>
        <w:szCs w:val="20"/>
      </w:rPr>
    </w:lvl>
    <w:lvl w:ilvl="1" w:tplc="F348BAC8">
      <w:start w:val="1"/>
      <w:numFmt w:val="decimal"/>
      <w:lvlText w:val="%2)"/>
      <w:lvlJc w:val="left"/>
      <w:pPr>
        <w:ind w:left="107" w:hanging="286"/>
      </w:pPr>
      <w:rPr>
        <w:rFonts w:ascii="Times New Roman" w:eastAsia="Times New Roman" w:hAnsi="Times New Roman" w:cs="Times New Roman" w:hint="default"/>
        <w:b w:val="0"/>
        <w:bCs w:val="0"/>
        <w:i w:val="0"/>
        <w:iCs w:val="0"/>
        <w:spacing w:val="0"/>
        <w:w w:val="100"/>
        <w:sz w:val="24"/>
        <w:szCs w:val="24"/>
      </w:rPr>
    </w:lvl>
    <w:lvl w:ilvl="2" w:tplc="24E6DA06">
      <w:numFmt w:val="bullet"/>
      <w:lvlText w:val="•"/>
      <w:lvlJc w:val="left"/>
      <w:pPr>
        <w:ind w:left="1085" w:hanging="286"/>
      </w:pPr>
      <w:rPr>
        <w:rFonts w:hint="default"/>
      </w:rPr>
    </w:lvl>
    <w:lvl w:ilvl="3" w:tplc="9B824328">
      <w:numFmt w:val="bullet"/>
      <w:lvlText w:val="•"/>
      <w:lvlJc w:val="left"/>
      <w:pPr>
        <w:ind w:left="1577" w:hanging="286"/>
      </w:pPr>
      <w:rPr>
        <w:rFonts w:hint="default"/>
      </w:rPr>
    </w:lvl>
    <w:lvl w:ilvl="4" w:tplc="E38C18D2">
      <w:numFmt w:val="bullet"/>
      <w:lvlText w:val="•"/>
      <w:lvlJc w:val="left"/>
      <w:pPr>
        <w:ind w:left="2070" w:hanging="286"/>
      </w:pPr>
      <w:rPr>
        <w:rFonts w:hint="default"/>
      </w:rPr>
    </w:lvl>
    <w:lvl w:ilvl="5" w:tplc="B8C25C8E">
      <w:numFmt w:val="bullet"/>
      <w:lvlText w:val="•"/>
      <w:lvlJc w:val="left"/>
      <w:pPr>
        <w:ind w:left="2563" w:hanging="286"/>
      </w:pPr>
      <w:rPr>
        <w:rFonts w:hint="default"/>
      </w:rPr>
    </w:lvl>
    <w:lvl w:ilvl="6" w:tplc="50DEC080">
      <w:numFmt w:val="bullet"/>
      <w:lvlText w:val="•"/>
      <w:lvlJc w:val="left"/>
      <w:pPr>
        <w:ind w:left="3055" w:hanging="286"/>
      </w:pPr>
      <w:rPr>
        <w:rFonts w:hint="default"/>
      </w:rPr>
    </w:lvl>
    <w:lvl w:ilvl="7" w:tplc="7F64BCD0">
      <w:numFmt w:val="bullet"/>
      <w:lvlText w:val="•"/>
      <w:lvlJc w:val="left"/>
      <w:pPr>
        <w:ind w:left="3548" w:hanging="286"/>
      </w:pPr>
      <w:rPr>
        <w:rFonts w:hint="default"/>
      </w:rPr>
    </w:lvl>
    <w:lvl w:ilvl="8" w:tplc="0D388C62">
      <w:numFmt w:val="bullet"/>
      <w:lvlText w:val="•"/>
      <w:lvlJc w:val="left"/>
      <w:pPr>
        <w:ind w:left="4040" w:hanging="286"/>
      </w:pPr>
      <w:rPr>
        <w:rFonts w:hint="default"/>
      </w:rPr>
    </w:lvl>
  </w:abstractNum>
  <w:abstractNum w:abstractNumId="8" w15:restartNumberingAfterBreak="0">
    <w:nsid w:val="33C141CD"/>
    <w:multiLevelType w:val="hybridMultilevel"/>
    <w:tmpl w:val="3E0CE590"/>
    <w:lvl w:ilvl="0" w:tplc="04190005">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34556EE7"/>
    <w:multiLevelType w:val="hybridMultilevel"/>
    <w:tmpl w:val="A9A6C9CA"/>
    <w:lvl w:ilvl="0" w:tplc="CB9A69DC">
      <w:start w:val="70"/>
      <w:numFmt w:val="decimal"/>
      <w:lvlText w:val="%1."/>
      <w:lvlJc w:val="left"/>
      <w:pPr>
        <w:ind w:left="108" w:hanging="369"/>
      </w:pPr>
      <w:rPr>
        <w:rFonts w:ascii="Times New Roman" w:eastAsia="Times New Roman" w:hAnsi="Times New Roman" w:cs="Times New Roman" w:hint="default"/>
        <w:b w:val="0"/>
        <w:bCs w:val="0"/>
        <w:i w:val="0"/>
        <w:iCs w:val="0"/>
        <w:spacing w:val="0"/>
        <w:w w:val="99"/>
        <w:sz w:val="20"/>
        <w:szCs w:val="20"/>
      </w:rPr>
    </w:lvl>
    <w:lvl w:ilvl="1" w:tplc="956233AA">
      <w:numFmt w:val="bullet"/>
      <w:lvlText w:val="-"/>
      <w:lvlJc w:val="left"/>
      <w:pPr>
        <w:ind w:left="108" w:hanging="128"/>
      </w:pPr>
      <w:rPr>
        <w:rFonts w:ascii="Times New Roman" w:eastAsia="Times New Roman" w:hAnsi="Times New Roman" w:hint="default"/>
        <w:b w:val="0"/>
        <w:i w:val="0"/>
        <w:spacing w:val="0"/>
        <w:w w:val="99"/>
        <w:sz w:val="20"/>
      </w:rPr>
    </w:lvl>
    <w:lvl w:ilvl="2" w:tplc="66961996">
      <w:numFmt w:val="bullet"/>
      <w:lvlText w:val="•"/>
      <w:lvlJc w:val="left"/>
      <w:pPr>
        <w:ind w:left="1056" w:hanging="128"/>
      </w:pPr>
      <w:rPr>
        <w:rFonts w:hint="default"/>
      </w:rPr>
    </w:lvl>
    <w:lvl w:ilvl="3" w:tplc="05B0B406">
      <w:numFmt w:val="bullet"/>
      <w:lvlText w:val="•"/>
      <w:lvlJc w:val="left"/>
      <w:pPr>
        <w:ind w:left="1534" w:hanging="128"/>
      </w:pPr>
      <w:rPr>
        <w:rFonts w:hint="default"/>
      </w:rPr>
    </w:lvl>
    <w:lvl w:ilvl="4" w:tplc="C86C6FB2">
      <w:numFmt w:val="bullet"/>
      <w:lvlText w:val="•"/>
      <w:lvlJc w:val="left"/>
      <w:pPr>
        <w:ind w:left="2012" w:hanging="128"/>
      </w:pPr>
      <w:rPr>
        <w:rFonts w:hint="default"/>
      </w:rPr>
    </w:lvl>
    <w:lvl w:ilvl="5" w:tplc="5DFC135C">
      <w:numFmt w:val="bullet"/>
      <w:lvlText w:val="•"/>
      <w:lvlJc w:val="left"/>
      <w:pPr>
        <w:ind w:left="2490" w:hanging="128"/>
      </w:pPr>
      <w:rPr>
        <w:rFonts w:hint="default"/>
      </w:rPr>
    </w:lvl>
    <w:lvl w:ilvl="6" w:tplc="EFFAF456">
      <w:numFmt w:val="bullet"/>
      <w:lvlText w:val="•"/>
      <w:lvlJc w:val="left"/>
      <w:pPr>
        <w:ind w:left="2968" w:hanging="128"/>
      </w:pPr>
      <w:rPr>
        <w:rFonts w:hint="default"/>
      </w:rPr>
    </w:lvl>
    <w:lvl w:ilvl="7" w:tplc="0D1A18AC">
      <w:numFmt w:val="bullet"/>
      <w:lvlText w:val="•"/>
      <w:lvlJc w:val="left"/>
      <w:pPr>
        <w:ind w:left="3446" w:hanging="128"/>
      </w:pPr>
      <w:rPr>
        <w:rFonts w:hint="default"/>
      </w:rPr>
    </w:lvl>
    <w:lvl w:ilvl="8" w:tplc="D2D61856">
      <w:numFmt w:val="bullet"/>
      <w:lvlText w:val="•"/>
      <w:lvlJc w:val="left"/>
      <w:pPr>
        <w:ind w:left="3924" w:hanging="128"/>
      </w:pPr>
      <w:rPr>
        <w:rFonts w:hint="default"/>
      </w:rPr>
    </w:lvl>
  </w:abstractNum>
  <w:abstractNum w:abstractNumId="10" w15:restartNumberingAfterBreak="0">
    <w:nsid w:val="36F47058"/>
    <w:multiLevelType w:val="hybridMultilevel"/>
    <w:tmpl w:val="654A41FE"/>
    <w:lvl w:ilvl="0" w:tplc="32CAF50A">
      <w:start w:val="2"/>
      <w:numFmt w:val="decimal"/>
      <w:lvlText w:val="%1)"/>
      <w:lvlJc w:val="left"/>
      <w:pPr>
        <w:ind w:left="107" w:hanging="228"/>
      </w:pPr>
      <w:rPr>
        <w:rFonts w:ascii="Times New Roman" w:eastAsia="Times New Roman" w:hAnsi="Times New Roman" w:cs="Times New Roman" w:hint="default"/>
        <w:b w:val="0"/>
        <w:bCs w:val="0"/>
        <w:i w:val="0"/>
        <w:iCs w:val="0"/>
        <w:spacing w:val="0"/>
        <w:w w:val="99"/>
        <w:sz w:val="20"/>
        <w:szCs w:val="20"/>
      </w:rPr>
    </w:lvl>
    <w:lvl w:ilvl="1" w:tplc="3998E104">
      <w:numFmt w:val="bullet"/>
      <w:lvlText w:val="•"/>
      <w:lvlJc w:val="left"/>
      <w:pPr>
        <w:ind w:left="592" w:hanging="228"/>
      </w:pPr>
      <w:rPr>
        <w:rFonts w:hint="default"/>
      </w:rPr>
    </w:lvl>
    <w:lvl w:ilvl="2" w:tplc="00D8A5AA">
      <w:numFmt w:val="bullet"/>
      <w:lvlText w:val="•"/>
      <w:lvlJc w:val="left"/>
      <w:pPr>
        <w:ind w:left="1085" w:hanging="228"/>
      </w:pPr>
      <w:rPr>
        <w:rFonts w:hint="default"/>
      </w:rPr>
    </w:lvl>
    <w:lvl w:ilvl="3" w:tplc="E6F032DC">
      <w:numFmt w:val="bullet"/>
      <w:lvlText w:val="•"/>
      <w:lvlJc w:val="left"/>
      <w:pPr>
        <w:ind w:left="1577" w:hanging="228"/>
      </w:pPr>
      <w:rPr>
        <w:rFonts w:hint="default"/>
      </w:rPr>
    </w:lvl>
    <w:lvl w:ilvl="4" w:tplc="77D828E2">
      <w:numFmt w:val="bullet"/>
      <w:lvlText w:val="•"/>
      <w:lvlJc w:val="left"/>
      <w:pPr>
        <w:ind w:left="2070" w:hanging="228"/>
      </w:pPr>
      <w:rPr>
        <w:rFonts w:hint="default"/>
      </w:rPr>
    </w:lvl>
    <w:lvl w:ilvl="5" w:tplc="F27C129E">
      <w:numFmt w:val="bullet"/>
      <w:lvlText w:val="•"/>
      <w:lvlJc w:val="left"/>
      <w:pPr>
        <w:ind w:left="2563" w:hanging="228"/>
      </w:pPr>
      <w:rPr>
        <w:rFonts w:hint="default"/>
      </w:rPr>
    </w:lvl>
    <w:lvl w:ilvl="6" w:tplc="B014800E">
      <w:numFmt w:val="bullet"/>
      <w:lvlText w:val="•"/>
      <w:lvlJc w:val="left"/>
      <w:pPr>
        <w:ind w:left="3055" w:hanging="228"/>
      </w:pPr>
      <w:rPr>
        <w:rFonts w:hint="default"/>
      </w:rPr>
    </w:lvl>
    <w:lvl w:ilvl="7" w:tplc="00565512">
      <w:numFmt w:val="bullet"/>
      <w:lvlText w:val="•"/>
      <w:lvlJc w:val="left"/>
      <w:pPr>
        <w:ind w:left="3548" w:hanging="228"/>
      </w:pPr>
      <w:rPr>
        <w:rFonts w:hint="default"/>
      </w:rPr>
    </w:lvl>
    <w:lvl w:ilvl="8" w:tplc="05B085F0">
      <w:numFmt w:val="bullet"/>
      <w:lvlText w:val="•"/>
      <w:lvlJc w:val="left"/>
      <w:pPr>
        <w:ind w:left="4040" w:hanging="228"/>
      </w:pPr>
      <w:rPr>
        <w:rFonts w:hint="default"/>
      </w:rPr>
    </w:lvl>
  </w:abstractNum>
  <w:abstractNum w:abstractNumId="11" w15:restartNumberingAfterBreak="0">
    <w:nsid w:val="45A2096C"/>
    <w:multiLevelType w:val="hybridMultilevel"/>
    <w:tmpl w:val="504CF6E4"/>
    <w:lvl w:ilvl="0" w:tplc="51F22626">
      <w:start w:val="87"/>
      <w:numFmt w:val="decimal"/>
      <w:lvlText w:val="%1."/>
      <w:lvlJc w:val="left"/>
      <w:pPr>
        <w:ind w:left="107" w:hanging="417"/>
      </w:pPr>
      <w:rPr>
        <w:rFonts w:ascii="Times New Roman" w:eastAsia="Times New Roman" w:hAnsi="Times New Roman" w:cs="Times New Roman" w:hint="default"/>
        <w:b w:val="0"/>
        <w:bCs w:val="0"/>
        <w:i w:val="0"/>
        <w:iCs w:val="0"/>
        <w:spacing w:val="0"/>
        <w:w w:val="99"/>
        <w:sz w:val="20"/>
        <w:szCs w:val="20"/>
      </w:rPr>
    </w:lvl>
    <w:lvl w:ilvl="1" w:tplc="C26AD0FE">
      <w:start w:val="1"/>
      <w:numFmt w:val="decimal"/>
      <w:lvlText w:val="%2)"/>
      <w:lvlJc w:val="left"/>
      <w:pPr>
        <w:ind w:left="107" w:hanging="358"/>
      </w:pPr>
      <w:rPr>
        <w:rFonts w:cs="Times New Roman" w:hint="default"/>
        <w:spacing w:val="0"/>
        <w:w w:val="99"/>
      </w:rPr>
    </w:lvl>
    <w:lvl w:ilvl="2" w:tplc="5DDAD016">
      <w:numFmt w:val="bullet"/>
      <w:lvlText w:val="•"/>
      <w:lvlJc w:val="left"/>
      <w:pPr>
        <w:ind w:left="1085" w:hanging="358"/>
      </w:pPr>
      <w:rPr>
        <w:rFonts w:hint="default"/>
      </w:rPr>
    </w:lvl>
    <w:lvl w:ilvl="3" w:tplc="575CF3EA">
      <w:numFmt w:val="bullet"/>
      <w:lvlText w:val="•"/>
      <w:lvlJc w:val="left"/>
      <w:pPr>
        <w:ind w:left="1577" w:hanging="358"/>
      </w:pPr>
      <w:rPr>
        <w:rFonts w:hint="default"/>
      </w:rPr>
    </w:lvl>
    <w:lvl w:ilvl="4" w:tplc="F206550C">
      <w:numFmt w:val="bullet"/>
      <w:lvlText w:val="•"/>
      <w:lvlJc w:val="left"/>
      <w:pPr>
        <w:ind w:left="2070" w:hanging="358"/>
      </w:pPr>
      <w:rPr>
        <w:rFonts w:hint="default"/>
      </w:rPr>
    </w:lvl>
    <w:lvl w:ilvl="5" w:tplc="4078C12C">
      <w:numFmt w:val="bullet"/>
      <w:lvlText w:val="•"/>
      <w:lvlJc w:val="left"/>
      <w:pPr>
        <w:ind w:left="2563" w:hanging="358"/>
      </w:pPr>
      <w:rPr>
        <w:rFonts w:hint="default"/>
      </w:rPr>
    </w:lvl>
    <w:lvl w:ilvl="6" w:tplc="52B43B34">
      <w:numFmt w:val="bullet"/>
      <w:lvlText w:val="•"/>
      <w:lvlJc w:val="left"/>
      <w:pPr>
        <w:ind w:left="3055" w:hanging="358"/>
      </w:pPr>
      <w:rPr>
        <w:rFonts w:hint="default"/>
      </w:rPr>
    </w:lvl>
    <w:lvl w:ilvl="7" w:tplc="97040B7A">
      <w:numFmt w:val="bullet"/>
      <w:lvlText w:val="•"/>
      <w:lvlJc w:val="left"/>
      <w:pPr>
        <w:ind w:left="3548" w:hanging="358"/>
      </w:pPr>
      <w:rPr>
        <w:rFonts w:hint="default"/>
      </w:rPr>
    </w:lvl>
    <w:lvl w:ilvl="8" w:tplc="8402E198">
      <w:numFmt w:val="bullet"/>
      <w:lvlText w:val="•"/>
      <w:lvlJc w:val="left"/>
      <w:pPr>
        <w:ind w:left="4040" w:hanging="358"/>
      </w:pPr>
      <w:rPr>
        <w:rFonts w:hint="default"/>
      </w:rPr>
    </w:lvl>
  </w:abstractNum>
  <w:abstractNum w:abstractNumId="12" w15:restartNumberingAfterBreak="0">
    <w:nsid w:val="491A1DA1"/>
    <w:multiLevelType w:val="hybridMultilevel"/>
    <w:tmpl w:val="AAEE1320"/>
    <w:lvl w:ilvl="0" w:tplc="2DFC9D98">
      <w:start w:val="87"/>
      <w:numFmt w:val="decimal"/>
      <w:lvlText w:val="%1."/>
      <w:lvlJc w:val="left"/>
      <w:pPr>
        <w:ind w:left="108" w:hanging="369"/>
      </w:pPr>
      <w:rPr>
        <w:rFonts w:ascii="Times New Roman" w:eastAsia="Times New Roman" w:hAnsi="Times New Roman" w:cs="Times New Roman" w:hint="default"/>
        <w:b w:val="0"/>
        <w:bCs w:val="0"/>
        <w:i w:val="0"/>
        <w:iCs w:val="0"/>
        <w:spacing w:val="0"/>
        <w:w w:val="99"/>
        <w:sz w:val="20"/>
        <w:szCs w:val="20"/>
      </w:rPr>
    </w:lvl>
    <w:lvl w:ilvl="1" w:tplc="47CA79A6">
      <w:start w:val="1"/>
      <w:numFmt w:val="decimal"/>
      <w:lvlText w:val="%2)"/>
      <w:lvlJc w:val="left"/>
      <w:pPr>
        <w:ind w:left="108" w:hanging="237"/>
      </w:pPr>
      <w:rPr>
        <w:rFonts w:cs="Times New Roman" w:hint="default"/>
        <w:spacing w:val="0"/>
        <w:w w:val="99"/>
      </w:rPr>
    </w:lvl>
    <w:lvl w:ilvl="2" w:tplc="6B00486E">
      <w:numFmt w:val="bullet"/>
      <w:lvlText w:val="•"/>
      <w:lvlJc w:val="left"/>
      <w:pPr>
        <w:ind w:left="1056" w:hanging="237"/>
      </w:pPr>
      <w:rPr>
        <w:rFonts w:hint="default"/>
      </w:rPr>
    </w:lvl>
    <w:lvl w:ilvl="3" w:tplc="049ADA2C">
      <w:numFmt w:val="bullet"/>
      <w:lvlText w:val="•"/>
      <w:lvlJc w:val="left"/>
      <w:pPr>
        <w:ind w:left="1534" w:hanging="237"/>
      </w:pPr>
      <w:rPr>
        <w:rFonts w:hint="default"/>
      </w:rPr>
    </w:lvl>
    <w:lvl w:ilvl="4" w:tplc="517427B6">
      <w:numFmt w:val="bullet"/>
      <w:lvlText w:val="•"/>
      <w:lvlJc w:val="left"/>
      <w:pPr>
        <w:ind w:left="2012" w:hanging="237"/>
      </w:pPr>
      <w:rPr>
        <w:rFonts w:hint="default"/>
      </w:rPr>
    </w:lvl>
    <w:lvl w:ilvl="5" w:tplc="D2489B04">
      <w:numFmt w:val="bullet"/>
      <w:lvlText w:val="•"/>
      <w:lvlJc w:val="left"/>
      <w:pPr>
        <w:ind w:left="2490" w:hanging="237"/>
      </w:pPr>
      <w:rPr>
        <w:rFonts w:hint="default"/>
      </w:rPr>
    </w:lvl>
    <w:lvl w:ilvl="6" w:tplc="7D4A0BC4">
      <w:numFmt w:val="bullet"/>
      <w:lvlText w:val="•"/>
      <w:lvlJc w:val="left"/>
      <w:pPr>
        <w:ind w:left="2968" w:hanging="237"/>
      </w:pPr>
      <w:rPr>
        <w:rFonts w:hint="default"/>
      </w:rPr>
    </w:lvl>
    <w:lvl w:ilvl="7" w:tplc="9EF6C1EC">
      <w:numFmt w:val="bullet"/>
      <w:lvlText w:val="•"/>
      <w:lvlJc w:val="left"/>
      <w:pPr>
        <w:ind w:left="3446" w:hanging="237"/>
      </w:pPr>
      <w:rPr>
        <w:rFonts w:hint="default"/>
      </w:rPr>
    </w:lvl>
    <w:lvl w:ilvl="8" w:tplc="186E75B6">
      <w:numFmt w:val="bullet"/>
      <w:lvlText w:val="•"/>
      <w:lvlJc w:val="left"/>
      <w:pPr>
        <w:ind w:left="3924" w:hanging="237"/>
      </w:pPr>
      <w:rPr>
        <w:rFonts w:hint="default"/>
      </w:rPr>
    </w:lvl>
  </w:abstractNum>
  <w:abstractNum w:abstractNumId="13" w15:restartNumberingAfterBreak="0">
    <w:nsid w:val="525B3AF5"/>
    <w:multiLevelType w:val="hybridMultilevel"/>
    <w:tmpl w:val="5CA6D97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0CD5456"/>
    <w:multiLevelType w:val="multilevel"/>
    <w:tmpl w:val="36468144"/>
    <w:lvl w:ilvl="0">
      <w:start w:val="134"/>
      <w:numFmt w:val="decimal"/>
      <w:lvlText w:val="%1."/>
      <w:lvlJc w:val="left"/>
      <w:pPr>
        <w:ind w:left="467" w:hanging="360"/>
      </w:pPr>
      <w:rPr>
        <w:rFonts w:cs="Times New Roman" w:hint="default"/>
      </w:rPr>
    </w:lvl>
    <w:lvl w:ilvl="1">
      <w:start w:val="1"/>
      <w:numFmt w:val="decimal"/>
      <w:isLgl/>
      <w:lvlText w:val="%1.%2"/>
      <w:lvlJc w:val="left"/>
      <w:pPr>
        <w:ind w:left="572" w:hanging="465"/>
      </w:pPr>
      <w:rPr>
        <w:rFonts w:cs="Times New Roman" w:hint="default"/>
      </w:rPr>
    </w:lvl>
    <w:lvl w:ilvl="2">
      <w:start w:val="1"/>
      <w:numFmt w:val="decimal"/>
      <w:isLgl/>
      <w:lvlText w:val="%1.%2.%3"/>
      <w:lvlJc w:val="left"/>
      <w:pPr>
        <w:ind w:left="827" w:hanging="720"/>
      </w:pPr>
      <w:rPr>
        <w:rFonts w:cs="Times New Roman" w:hint="default"/>
      </w:rPr>
    </w:lvl>
    <w:lvl w:ilvl="3">
      <w:start w:val="1"/>
      <w:numFmt w:val="decimal"/>
      <w:isLgl/>
      <w:lvlText w:val="%1.%2.%3.%4"/>
      <w:lvlJc w:val="left"/>
      <w:pPr>
        <w:ind w:left="827" w:hanging="720"/>
      </w:pPr>
      <w:rPr>
        <w:rFonts w:cs="Times New Roman" w:hint="default"/>
      </w:rPr>
    </w:lvl>
    <w:lvl w:ilvl="4">
      <w:start w:val="1"/>
      <w:numFmt w:val="decimal"/>
      <w:isLgl/>
      <w:lvlText w:val="%1.%2.%3.%4.%5"/>
      <w:lvlJc w:val="left"/>
      <w:pPr>
        <w:ind w:left="827" w:hanging="720"/>
      </w:pPr>
      <w:rPr>
        <w:rFonts w:cs="Times New Roman" w:hint="default"/>
      </w:rPr>
    </w:lvl>
    <w:lvl w:ilvl="5">
      <w:start w:val="1"/>
      <w:numFmt w:val="decimal"/>
      <w:isLgl/>
      <w:lvlText w:val="%1.%2.%3.%4.%5.%6"/>
      <w:lvlJc w:val="left"/>
      <w:pPr>
        <w:ind w:left="1187" w:hanging="1080"/>
      </w:pPr>
      <w:rPr>
        <w:rFonts w:cs="Times New Roman" w:hint="default"/>
      </w:rPr>
    </w:lvl>
    <w:lvl w:ilvl="6">
      <w:start w:val="1"/>
      <w:numFmt w:val="decimal"/>
      <w:isLgl/>
      <w:lvlText w:val="%1.%2.%3.%4.%5.%6.%7"/>
      <w:lvlJc w:val="left"/>
      <w:pPr>
        <w:ind w:left="1187" w:hanging="1080"/>
      </w:pPr>
      <w:rPr>
        <w:rFonts w:cs="Times New Roman" w:hint="default"/>
      </w:rPr>
    </w:lvl>
    <w:lvl w:ilvl="7">
      <w:start w:val="1"/>
      <w:numFmt w:val="decimal"/>
      <w:isLgl/>
      <w:lvlText w:val="%1.%2.%3.%4.%5.%6.%7.%8"/>
      <w:lvlJc w:val="left"/>
      <w:pPr>
        <w:ind w:left="1547" w:hanging="1440"/>
      </w:pPr>
      <w:rPr>
        <w:rFonts w:cs="Times New Roman" w:hint="default"/>
      </w:rPr>
    </w:lvl>
    <w:lvl w:ilvl="8">
      <w:start w:val="1"/>
      <w:numFmt w:val="decimal"/>
      <w:isLgl/>
      <w:lvlText w:val="%1.%2.%3.%4.%5.%6.%7.%8.%9"/>
      <w:lvlJc w:val="left"/>
      <w:pPr>
        <w:ind w:left="1547" w:hanging="1440"/>
      </w:pPr>
      <w:rPr>
        <w:rFonts w:cs="Times New Roman" w:hint="default"/>
      </w:rPr>
    </w:lvl>
  </w:abstractNum>
  <w:abstractNum w:abstractNumId="15" w15:restartNumberingAfterBreak="0">
    <w:nsid w:val="6EE46B73"/>
    <w:multiLevelType w:val="hybridMultilevel"/>
    <w:tmpl w:val="C1F0C710"/>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6" w15:restartNumberingAfterBreak="0">
    <w:nsid w:val="7A141F0F"/>
    <w:multiLevelType w:val="hybridMultilevel"/>
    <w:tmpl w:val="6822701A"/>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A6D0725"/>
    <w:multiLevelType w:val="hybridMultilevel"/>
    <w:tmpl w:val="8E8E6E32"/>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7BF07CB6"/>
    <w:multiLevelType w:val="hybridMultilevel"/>
    <w:tmpl w:val="555C0C04"/>
    <w:lvl w:ilvl="0" w:tplc="6F90413E">
      <w:start w:val="1"/>
      <w:numFmt w:val="decimal"/>
      <w:lvlText w:val="%1)"/>
      <w:lvlJc w:val="left"/>
      <w:pPr>
        <w:ind w:left="107" w:hanging="597"/>
      </w:pPr>
      <w:rPr>
        <w:rFonts w:ascii="Times New Roman" w:eastAsia="Times New Roman" w:hAnsi="Times New Roman" w:cs="Times New Roman" w:hint="default"/>
        <w:b/>
        <w:bCs/>
        <w:i w:val="0"/>
        <w:iCs w:val="0"/>
        <w:spacing w:val="0"/>
        <w:w w:val="99"/>
        <w:sz w:val="20"/>
        <w:szCs w:val="20"/>
      </w:rPr>
    </w:lvl>
    <w:lvl w:ilvl="1" w:tplc="4EEC2A3A">
      <w:start w:val="1"/>
      <w:numFmt w:val="decimal"/>
      <w:lvlText w:val="%2)"/>
      <w:lvlJc w:val="left"/>
      <w:pPr>
        <w:ind w:left="107" w:hanging="485"/>
      </w:pPr>
      <w:rPr>
        <w:rFonts w:ascii="Times New Roman" w:eastAsia="Times New Roman" w:hAnsi="Times New Roman" w:cs="Times New Roman" w:hint="default"/>
        <w:b/>
        <w:bCs/>
        <w:i w:val="0"/>
        <w:iCs w:val="0"/>
        <w:spacing w:val="0"/>
        <w:w w:val="99"/>
        <w:sz w:val="20"/>
        <w:szCs w:val="20"/>
      </w:rPr>
    </w:lvl>
    <w:lvl w:ilvl="2" w:tplc="50368A4E">
      <w:numFmt w:val="bullet"/>
      <w:lvlText w:val="•"/>
      <w:lvlJc w:val="left"/>
      <w:pPr>
        <w:ind w:left="1085" w:hanging="485"/>
      </w:pPr>
      <w:rPr>
        <w:rFonts w:hint="default"/>
      </w:rPr>
    </w:lvl>
    <w:lvl w:ilvl="3" w:tplc="5042762C">
      <w:numFmt w:val="bullet"/>
      <w:lvlText w:val="•"/>
      <w:lvlJc w:val="left"/>
      <w:pPr>
        <w:ind w:left="1577" w:hanging="485"/>
      </w:pPr>
      <w:rPr>
        <w:rFonts w:hint="default"/>
      </w:rPr>
    </w:lvl>
    <w:lvl w:ilvl="4" w:tplc="E1DE9476">
      <w:numFmt w:val="bullet"/>
      <w:lvlText w:val="•"/>
      <w:lvlJc w:val="left"/>
      <w:pPr>
        <w:ind w:left="2070" w:hanging="485"/>
      </w:pPr>
      <w:rPr>
        <w:rFonts w:hint="default"/>
      </w:rPr>
    </w:lvl>
    <w:lvl w:ilvl="5" w:tplc="14683AD4">
      <w:numFmt w:val="bullet"/>
      <w:lvlText w:val="•"/>
      <w:lvlJc w:val="left"/>
      <w:pPr>
        <w:ind w:left="2563" w:hanging="485"/>
      </w:pPr>
      <w:rPr>
        <w:rFonts w:hint="default"/>
      </w:rPr>
    </w:lvl>
    <w:lvl w:ilvl="6" w:tplc="5A889264">
      <w:numFmt w:val="bullet"/>
      <w:lvlText w:val="•"/>
      <w:lvlJc w:val="left"/>
      <w:pPr>
        <w:ind w:left="3055" w:hanging="485"/>
      </w:pPr>
      <w:rPr>
        <w:rFonts w:hint="default"/>
      </w:rPr>
    </w:lvl>
    <w:lvl w:ilvl="7" w:tplc="8FB6E66E">
      <w:numFmt w:val="bullet"/>
      <w:lvlText w:val="•"/>
      <w:lvlJc w:val="left"/>
      <w:pPr>
        <w:ind w:left="3548" w:hanging="485"/>
      </w:pPr>
      <w:rPr>
        <w:rFonts w:hint="default"/>
      </w:rPr>
    </w:lvl>
    <w:lvl w:ilvl="8" w:tplc="B894A0B0">
      <w:numFmt w:val="bullet"/>
      <w:lvlText w:val="•"/>
      <w:lvlJc w:val="left"/>
      <w:pPr>
        <w:ind w:left="4040" w:hanging="485"/>
      </w:pPr>
      <w:rPr>
        <w:rFonts w:hint="default"/>
      </w:rPr>
    </w:lvl>
  </w:abstractNum>
  <w:num w:numId="1">
    <w:abstractNumId w:val="6"/>
  </w:num>
  <w:num w:numId="2">
    <w:abstractNumId w:val="15"/>
  </w:num>
  <w:num w:numId="3">
    <w:abstractNumId w:val="16"/>
  </w:num>
  <w:num w:numId="4">
    <w:abstractNumId w:val="5"/>
  </w:num>
  <w:num w:numId="5">
    <w:abstractNumId w:val="13"/>
  </w:num>
  <w:num w:numId="6">
    <w:abstractNumId w:val="8"/>
  </w:num>
  <w:num w:numId="7">
    <w:abstractNumId w:val="18"/>
  </w:num>
  <w:num w:numId="8">
    <w:abstractNumId w:val="10"/>
  </w:num>
  <w:num w:numId="9">
    <w:abstractNumId w:val="1"/>
  </w:num>
  <w:num w:numId="10">
    <w:abstractNumId w:val="9"/>
  </w:num>
  <w:num w:numId="11">
    <w:abstractNumId w:val="2"/>
  </w:num>
  <w:num w:numId="12">
    <w:abstractNumId w:val="0"/>
  </w:num>
  <w:num w:numId="13">
    <w:abstractNumId w:val="11"/>
  </w:num>
  <w:num w:numId="14">
    <w:abstractNumId w:val="7"/>
  </w:num>
  <w:num w:numId="15">
    <w:abstractNumId w:val="3"/>
  </w:num>
  <w:num w:numId="16">
    <w:abstractNumId w:val="4"/>
  </w:num>
  <w:num w:numId="17">
    <w:abstractNumId w:val="14"/>
  </w:num>
  <w:num w:numId="18">
    <w:abstractNumId w:val="12"/>
  </w:num>
  <w:num w:numId="19">
    <w:abstractNumId w:val="17"/>
  </w:num>
  <w:num w:numId="2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47"/>
    <w:rsid w:val="00007516"/>
    <w:rsid w:val="000137D3"/>
    <w:rsid w:val="000270A6"/>
    <w:rsid w:val="00036DE9"/>
    <w:rsid w:val="00043163"/>
    <w:rsid w:val="00045656"/>
    <w:rsid w:val="00047298"/>
    <w:rsid w:val="00057FC9"/>
    <w:rsid w:val="000657B1"/>
    <w:rsid w:val="000660CD"/>
    <w:rsid w:val="00071116"/>
    <w:rsid w:val="000823C0"/>
    <w:rsid w:val="00082DF1"/>
    <w:rsid w:val="00083277"/>
    <w:rsid w:val="00086C2F"/>
    <w:rsid w:val="000B056E"/>
    <w:rsid w:val="000B444D"/>
    <w:rsid w:val="000B486B"/>
    <w:rsid w:val="000C5BAE"/>
    <w:rsid w:val="000C62D7"/>
    <w:rsid w:val="000C729F"/>
    <w:rsid w:val="000C7847"/>
    <w:rsid w:val="000D21DC"/>
    <w:rsid w:val="000D3CF6"/>
    <w:rsid w:val="000D75B7"/>
    <w:rsid w:val="000D7A27"/>
    <w:rsid w:val="000E068A"/>
    <w:rsid w:val="000F6A77"/>
    <w:rsid w:val="00104A99"/>
    <w:rsid w:val="00111EE5"/>
    <w:rsid w:val="00114CEB"/>
    <w:rsid w:val="00121A19"/>
    <w:rsid w:val="0012552C"/>
    <w:rsid w:val="00126418"/>
    <w:rsid w:val="00131E77"/>
    <w:rsid w:val="001337EC"/>
    <w:rsid w:val="00146A0A"/>
    <w:rsid w:val="00150A5D"/>
    <w:rsid w:val="00151251"/>
    <w:rsid w:val="001548DD"/>
    <w:rsid w:val="00157E42"/>
    <w:rsid w:val="00165C7D"/>
    <w:rsid w:val="00170506"/>
    <w:rsid w:val="00185246"/>
    <w:rsid w:val="0019398C"/>
    <w:rsid w:val="00194B19"/>
    <w:rsid w:val="00195B32"/>
    <w:rsid w:val="00197D1F"/>
    <w:rsid w:val="001A541F"/>
    <w:rsid w:val="001A6DB0"/>
    <w:rsid w:val="001C01BF"/>
    <w:rsid w:val="001D0325"/>
    <w:rsid w:val="001D293F"/>
    <w:rsid w:val="001E2F10"/>
    <w:rsid w:val="001E6447"/>
    <w:rsid w:val="001F0CC9"/>
    <w:rsid w:val="001F105B"/>
    <w:rsid w:val="001F77B6"/>
    <w:rsid w:val="0020597A"/>
    <w:rsid w:val="00205B02"/>
    <w:rsid w:val="002260B8"/>
    <w:rsid w:val="002402B3"/>
    <w:rsid w:val="002462F0"/>
    <w:rsid w:val="002470B2"/>
    <w:rsid w:val="00256E93"/>
    <w:rsid w:val="00257D84"/>
    <w:rsid w:val="002629E5"/>
    <w:rsid w:val="00263F66"/>
    <w:rsid w:val="002645B4"/>
    <w:rsid w:val="00265E75"/>
    <w:rsid w:val="00272DFC"/>
    <w:rsid w:val="00281E1C"/>
    <w:rsid w:val="002A065A"/>
    <w:rsid w:val="002A3F01"/>
    <w:rsid w:val="002A561D"/>
    <w:rsid w:val="002C2F3B"/>
    <w:rsid w:val="002D31D5"/>
    <w:rsid w:val="002D4DF1"/>
    <w:rsid w:val="002F092C"/>
    <w:rsid w:val="002F10AB"/>
    <w:rsid w:val="002F1E0A"/>
    <w:rsid w:val="00320110"/>
    <w:rsid w:val="00326810"/>
    <w:rsid w:val="00333D9C"/>
    <w:rsid w:val="00334E5E"/>
    <w:rsid w:val="00334FF1"/>
    <w:rsid w:val="003500DC"/>
    <w:rsid w:val="00354771"/>
    <w:rsid w:val="003727FD"/>
    <w:rsid w:val="00375C3F"/>
    <w:rsid w:val="00376193"/>
    <w:rsid w:val="00385FF4"/>
    <w:rsid w:val="003902A9"/>
    <w:rsid w:val="003A0499"/>
    <w:rsid w:val="003A2A59"/>
    <w:rsid w:val="003A2C86"/>
    <w:rsid w:val="003A3041"/>
    <w:rsid w:val="003A48E3"/>
    <w:rsid w:val="003A5005"/>
    <w:rsid w:val="003A5B0D"/>
    <w:rsid w:val="003C1579"/>
    <w:rsid w:val="003C3524"/>
    <w:rsid w:val="003C4D59"/>
    <w:rsid w:val="003F29EF"/>
    <w:rsid w:val="003F330D"/>
    <w:rsid w:val="003F4824"/>
    <w:rsid w:val="003F784C"/>
    <w:rsid w:val="004033B3"/>
    <w:rsid w:val="0040417D"/>
    <w:rsid w:val="00406DDC"/>
    <w:rsid w:val="0041106E"/>
    <w:rsid w:val="004307DA"/>
    <w:rsid w:val="00432C44"/>
    <w:rsid w:val="004341CA"/>
    <w:rsid w:val="00436DB5"/>
    <w:rsid w:val="00444939"/>
    <w:rsid w:val="0045201C"/>
    <w:rsid w:val="00472CB0"/>
    <w:rsid w:val="00473101"/>
    <w:rsid w:val="0048136F"/>
    <w:rsid w:val="00484547"/>
    <w:rsid w:val="004915C1"/>
    <w:rsid w:val="004927A3"/>
    <w:rsid w:val="00497C82"/>
    <w:rsid w:val="004A5940"/>
    <w:rsid w:val="004B69E8"/>
    <w:rsid w:val="004C05D4"/>
    <w:rsid w:val="004C63A5"/>
    <w:rsid w:val="004C65FD"/>
    <w:rsid w:val="004C77C5"/>
    <w:rsid w:val="004D24C2"/>
    <w:rsid w:val="004D63DA"/>
    <w:rsid w:val="004E0EA5"/>
    <w:rsid w:val="004E1949"/>
    <w:rsid w:val="004E1CA9"/>
    <w:rsid w:val="004E62DD"/>
    <w:rsid w:val="004F3811"/>
    <w:rsid w:val="004F73D8"/>
    <w:rsid w:val="005000F5"/>
    <w:rsid w:val="0050659B"/>
    <w:rsid w:val="00506F00"/>
    <w:rsid w:val="0051696F"/>
    <w:rsid w:val="0053461E"/>
    <w:rsid w:val="0055043D"/>
    <w:rsid w:val="00550E20"/>
    <w:rsid w:val="00553C50"/>
    <w:rsid w:val="00554228"/>
    <w:rsid w:val="0056079F"/>
    <w:rsid w:val="005612CA"/>
    <w:rsid w:val="005620A6"/>
    <w:rsid w:val="005744E7"/>
    <w:rsid w:val="00584D1A"/>
    <w:rsid w:val="00585B25"/>
    <w:rsid w:val="00585E3D"/>
    <w:rsid w:val="00593A42"/>
    <w:rsid w:val="005A191B"/>
    <w:rsid w:val="005A32B7"/>
    <w:rsid w:val="005A6013"/>
    <w:rsid w:val="005A7678"/>
    <w:rsid w:val="005B32BD"/>
    <w:rsid w:val="005B4879"/>
    <w:rsid w:val="005C04B3"/>
    <w:rsid w:val="005C1D42"/>
    <w:rsid w:val="005C6737"/>
    <w:rsid w:val="005D19F6"/>
    <w:rsid w:val="005D21DD"/>
    <w:rsid w:val="005E0FDF"/>
    <w:rsid w:val="005E4339"/>
    <w:rsid w:val="005E6DAB"/>
    <w:rsid w:val="006063BF"/>
    <w:rsid w:val="00617DB1"/>
    <w:rsid w:val="00632D02"/>
    <w:rsid w:val="006337AB"/>
    <w:rsid w:val="00636A47"/>
    <w:rsid w:val="00640D4F"/>
    <w:rsid w:val="00643487"/>
    <w:rsid w:val="00643662"/>
    <w:rsid w:val="00643976"/>
    <w:rsid w:val="00654CCD"/>
    <w:rsid w:val="006559BD"/>
    <w:rsid w:val="00664052"/>
    <w:rsid w:val="00667387"/>
    <w:rsid w:val="00671352"/>
    <w:rsid w:val="00673A75"/>
    <w:rsid w:val="00673B80"/>
    <w:rsid w:val="00680FB1"/>
    <w:rsid w:val="0068110C"/>
    <w:rsid w:val="00684C3D"/>
    <w:rsid w:val="006A730F"/>
    <w:rsid w:val="006B69E6"/>
    <w:rsid w:val="006D0EF4"/>
    <w:rsid w:val="006D3BE6"/>
    <w:rsid w:val="006D45A0"/>
    <w:rsid w:val="006E122C"/>
    <w:rsid w:val="006E72FB"/>
    <w:rsid w:val="006E7ADD"/>
    <w:rsid w:val="00701D7E"/>
    <w:rsid w:val="00713293"/>
    <w:rsid w:val="007158E3"/>
    <w:rsid w:val="0072452B"/>
    <w:rsid w:val="00731DF0"/>
    <w:rsid w:val="00742F7D"/>
    <w:rsid w:val="00760F6C"/>
    <w:rsid w:val="00766E37"/>
    <w:rsid w:val="007711A3"/>
    <w:rsid w:val="00773004"/>
    <w:rsid w:val="007737B1"/>
    <w:rsid w:val="00785FDA"/>
    <w:rsid w:val="00791D61"/>
    <w:rsid w:val="00796AC8"/>
    <w:rsid w:val="0079716B"/>
    <w:rsid w:val="00797558"/>
    <w:rsid w:val="007A1972"/>
    <w:rsid w:val="007A1F93"/>
    <w:rsid w:val="007A3255"/>
    <w:rsid w:val="007A34D6"/>
    <w:rsid w:val="007A5AFC"/>
    <w:rsid w:val="007B0C89"/>
    <w:rsid w:val="007B1901"/>
    <w:rsid w:val="007C58A0"/>
    <w:rsid w:val="007D3EA4"/>
    <w:rsid w:val="007D68D3"/>
    <w:rsid w:val="007E1DF4"/>
    <w:rsid w:val="007E4CC1"/>
    <w:rsid w:val="007E58F9"/>
    <w:rsid w:val="007F4F0C"/>
    <w:rsid w:val="007F6E69"/>
    <w:rsid w:val="00803975"/>
    <w:rsid w:val="00806E5D"/>
    <w:rsid w:val="0081636B"/>
    <w:rsid w:val="00825972"/>
    <w:rsid w:val="00831449"/>
    <w:rsid w:val="0083344B"/>
    <w:rsid w:val="008435E9"/>
    <w:rsid w:val="00865687"/>
    <w:rsid w:val="0086625C"/>
    <w:rsid w:val="00872922"/>
    <w:rsid w:val="008760FE"/>
    <w:rsid w:val="00887A4D"/>
    <w:rsid w:val="0089142C"/>
    <w:rsid w:val="0089291A"/>
    <w:rsid w:val="008955D7"/>
    <w:rsid w:val="008955F7"/>
    <w:rsid w:val="008A65DF"/>
    <w:rsid w:val="008B42A2"/>
    <w:rsid w:val="008C524A"/>
    <w:rsid w:val="008C59A5"/>
    <w:rsid w:val="008D3AF5"/>
    <w:rsid w:val="008E5C92"/>
    <w:rsid w:val="008E7A15"/>
    <w:rsid w:val="008E7C04"/>
    <w:rsid w:val="008F4D2D"/>
    <w:rsid w:val="0090188E"/>
    <w:rsid w:val="009031FC"/>
    <w:rsid w:val="00915274"/>
    <w:rsid w:val="00917C68"/>
    <w:rsid w:val="00921A4B"/>
    <w:rsid w:val="00922840"/>
    <w:rsid w:val="00927344"/>
    <w:rsid w:val="00931821"/>
    <w:rsid w:val="009327EB"/>
    <w:rsid w:val="00936689"/>
    <w:rsid w:val="00937F04"/>
    <w:rsid w:val="00943057"/>
    <w:rsid w:val="00950A46"/>
    <w:rsid w:val="00951612"/>
    <w:rsid w:val="00953BF8"/>
    <w:rsid w:val="0095458C"/>
    <w:rsid w:val="0096046E"/>
    <w:rsid w:val="009629C1"/>
    <w:rsid w:val="00963319"/>
    <w:rsid w:val="009776A1"/>
    <w:rsid w:val="00981B6F"/>
    <w:rsid w:val="00990AC3"/>
    <w:rsid w:val="009A1A57"/>
    <w:rsid w:val="009A3CBE"/>
    <w:rsid w:val="009A636C"/>
    <w:rsid w:val="009B0447"/>
    <w:rsid w:val="009B2289"/>
    <w:rsid w:val="009C0454"/>
    <w:rsid w:val="009D0B2F"/>
    <w:rsid w:val="009D3D91"/>
    <w:rsid w:val="009D4F5F"/>
    <w:rsid w:val="009D6A1A"/>
    <w:rsid w:val="009E21AB"/>
    <w:rsid w:val="009E308B"/>
    <w:rsid w:val="009E35D9"/>
    <w:rsid w:val="009F5A50"/>
    <w:rsid w:val="009F6DCF"/>
    <w:rsid w:val="00A0218A"/>
    <w:rsid w:val="00A044BB"/>
    <w:rsid w:val="00A2297C"/>
    <w:rsid w:val="00A461A8"/>
    <w:rsid w:val="00A47BFC"/>
    <w:rsid w:val="00A502B2"/>
    <w:rsid w:val="00A51CE6"/>
    <w:rsid w:val="00A54643"/>
    <w:rsid w:val="00A61291"/>
    <w:rsid w:val="00A652F1"/>
    <w:rsid w:val="00A675D2"/>
    <w:rsid w:val="00A70068"/>
    <w:rsid w:val="00A772F6"/>
    <w:rsid w:val="00A80470"/>
    <w:rsid w:val="00A822B7"/>
    <w:rsid w:val="00A92AD6"/>
    <w:rsid w:val="00A94267"/>
    <w:rsid w:val="00A94BB4"/>
    <w:rsid w:val="00A95E49"/>
    <w:rsid w:val="00AA1EBC"/>
    <w:rsid w:val="00AA7983"/>
    <w:rsid w:val="00AB4DCB"/>
    <w:rsid w:val="00AB4E6F"/>
    <w:rsid w:val="00AC6CA4"/>
    <w:rsid w:val="00AC77B9"/>
    <w:rsid w:val="00AD4B2E"/>
    <w:rsid w:val="00AD5F55"/>
    <w:rsid w:val="00AE33F7"/>
    <w:rsid w:val="00AF320D"/>
    <w:rsid w:val="00B0427B"/>
    <w:rsid w:val="00B11445"/>
    <w:rsid w:val="00B17D29"/>
    <w:rsid w:val="00B2513E"/>
    <w:rsid w:val="00B307E1"/>
    <w:rsid w:val="00B37851"/>
    <w:rsid w:val="00B463B8"/>
    <w:rsid w:val="00B46E33"/>
    <w:rsid w:val="00B47187"/>
    <w:rsid w:val="00B5388B"/>
    <w:rsid w:val="00B567EF"/>
    <w:rsid w:val="00B63010"/>
    <w:rsid w:val="00B72F7E"/>
    <w:rsid w:val="00B82355"/>
    <w:rsid w:val="00B83CA5"/>
    <w:rsid w:val="00B87BDE"/>
    <w:rsid w:val="00B90E3E"/>
    <w:rsid w:val="00B9444B"/>
    <w:rsid w:val="00BA7599"/>
    <w:rsid w:val="00BB0C7F"/>
    <w:rsid w:val="00BB2F2D"/>
    <w:rsid w:val="00BD4AD1"/>
    <w:rsid w:val="00BD73B4"/>
    <w:rsid w:val="00BE4766"/>
    <w:rsid w:val="00C00B8D"/>
    <w:rsid w:val="00C07D40"/>
    <w:rsid w:val="00C22730"/>
    <w:rsid w:val="00C228A8"/>
    <w:rsid w:val="00C239FF"/>
    <w:rsid w:val="00C24477"/>
    <w:rsid w:val="00C31902"/>
    <w:rsid w:val="00C40939"/>
    <w:rsid w:val="00C43F90"/>
    <w:rsid w:val="00C450DE"/>
    <w:rsid w:val="00C50521"/>
    <w:rsid w:val="00C733B1"/>
    <w:rsid w:val="00C75222"/>
    <w:rsid w:val="00C754CB"/>
    <w:rsid w:val="00C84D47"/>
    <w:rsid w:val="00C867CE"/>
    <w:rsid w:val="00C874CF"/>
    <w:rsid w:val="00C94FBA"/>
    <w:rsid w:val="00CA0B33"/>
    <w:rsid w:val="00CA239F"/>
    <w:rsid w:val="00CB2F95"/>
    <w:rsid w:val="00CB63A1"/>
    <w:rsid w:val="00CC2A1C"/>
    <w:rsid w:val="00CC79A1"/>
    <w:rsid w:val="00CD142B"/>
    <w:rsid w:val="00CD7298"/>
    <w:rsid w:val="00CE4CCB"/>
    <w:rsid w:val="00CE5362"/>
    <w:rsid w:val="00CF0DC5"/>
    <w:rsid w:val="00CF2AFE"/>
    <w:rsid w:val="00CF2F9A"/>
    <w:rsid w:val="00D01075"/>
    <w:rsid w:val="00D031D6"/>
    <w:rsid w:val="00D066EB"/>
    <w:rsid w:val="00D16F77"/>
    <w:rsid w:val="00D208B5"/>
    <w:rsid w:val="00D265CF"/>
    <w:rsid w:val="00D27CB8"/>
    <w:rsid w:val="00D351A2"/>
    <w:rsid w:val="00D41F35"/>
    <w:rsid w:val="00D43062"/>
    <w:rsid w:val="00D431C9"/>
    <w:rsid w:val="00D513DC"/>
    <w:rsid w:val="00D52238"/>
    <w:rsid w:val="00D524FF"/>
    <w:rsid w:val="00D56E5D"/>
    <w:rsid w:val="00D60519"/>
    <w:rsid w:val="00D62D8A"/>
    <w:rsid w:val="00D63367"/>
    <w:rsid w:val="00D6387D"/>
    <w:rsid w:val="00D72F62"/>
    <w:rsid w:val="00D739B4"/>
    <w:rsid w:val="00D85C7E"/>
    <w:rsid w:val="00D932DA"/>
    <w:rsid w:val="00D96EEB"/>
    <w:rsid w:val="00DA41E0"/>
    <w:rsid w:val="00DA564F"/>
    <w:rsid w:val="00DA6A17"/>
    <w:rsid w:val="00DA7A50"/>
    <w:rsid w:val="00DB12B2"/>
    <w:rsid w:val="00DB1BAA"/>
    <w:rsid w:val="00DB2CE5"/>
    <w:rsid w:val="00DC5415"/>
    <w:rsid w:val="00DD0C07"/>
    <w:rsid w:val="00DD3BDD"/>
    <w:rsid w:val="00DF3755"/>
    <w:rsid w:val="00E0106E"/>
    <w:rsid w:val="00E07826"/>
    <w:rsid w:val="00E1099C"/>
    <w:rsid w:val="00E10F8E"/>
    <w:rsid w:val="00E12222"/>
    <w:rsid w:val="00E132B7"/>
    <w:rsid w:val="00E237A9"/>
    <w:rsid w:val="00E31F9D"/>
    <w:rsid w:val="00E33F50"/>
    <w:rsid w:val="00E40483"/>
    <w:rsid w:val="00E4553C"/>
    <w:rsid w:val="00E518F4"/>
    <w:rsid w:val="00E57C2C"/>
    <w:rsid w:val="00E6400A"/>
    <w:rsid w:val="00E66C5A"/>
    <w:rsid w:val="00E71656"/>
    <w:rsid w:val="00E773F1"/>
    <w:rsid w:val="00E81F51"/>
    <w:rsid w:val="00EB0A34"/>
    <w:rsid w:val="00EB1277"/>
    <w:rsid w:val="00EB526F"/>
    <w:rsid w:val="00EB6F9B"/>
    <w:rsid w:val="00EC16A2"/>
    <w:rsid w:val="00EC4CD6"/>
    <w:rsid w:val="00EE046D"/>
    <w:rsid w:val="00EE3066"/>
    <w:rsid w:val="00EE3887"/>
    <w:rsid w:val="00EE7307"/>
    <w:rsid w:val="00EE738B"/>
    <w:rsid w:val="00F03DBE"/>
    <w:rsid w:val="00F208A9"/>
    <w:rsid w:val="00F25C82"/>
    <w:rsid w:val="00F31F0C"/>
    <w:rsid w:val="00F32539"/>
    <w:rsid w:val="00F35C69"/>
    <w:rsid w:val="00F4480A"/>
    <w:rsid w:val="00F45B7F"/>
    <w:rsid w:val="00F61F63"/>
    <w:rsid w:val="00F63061"/>
    <w:rsid w:val="00F65CA6"/>
    <w:rsid w:val="00F7176A"/>
    <w:rsid w:val="00F74594"/>
    <w:rsid w:val="00F805B5"/>
    <w:rsid w:val="00F84602"/>
    <w:rsid w:val="00F86538"/>
    <w:rsid w:val="00F874E4"/>
    <w:rsid w:val="00F91414"/>
    <w:rsid w:val="00F950F2"/>
    <w:rsid w:val="00FA687B"/>
    <w:rsid w:val="00FB1AFF"/>
    <w:rsid w:val="00FD4463"/>
    <w:rsid w:val="00FE09E4"/>
    <w:rsid w:val="00FF4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1CE333"/>
  <w14:defaultImageDpi w14:val="0"/>
  <w15:docId w15:val="{34B83FE3-6F1E-446A-9913-C6F5EDD7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7983"/>
    <w:pPr>
      <w:spacing w:after="0" w:line="240" w:lineRule="auto"/>
    </w:pPr>
    <w:rPr>
      <w:sz w:val="24"/>
      <w:szCs w:val="24"/>
    </w:rPr>
  </w:style>
  <w:style w:type="paragraph" w:styleId="1">
    <w:name w:val="heading 1"/>
    <w:basedOn w:val="a"/>
    <w:next w:val="a"/>
    <w:link w:val="10"/>
    <w:uiPriority w:val="99"/>
    <w:qFormat/>
    <w:rsid w:val="0045201C"/>
    <w:pPr>
      <w:keepNext/>
      <w:spacing w:before="240" w:after="60" w:line="360" w:lineRule="atLeast"/>
      <w:jc w:val="both"/>
      <w:outlineLvl w:val="0"/>
    </w:pPr>
    <w:rPr>
      <w:rFonts w:ascii="Arial" w:hAnsi="Arial" w:cs="Arial"/>
      <w:b/>
      <w:bCs/>
      <w:kern w:val="32"/>
      <w:sz w:val="32"/>
      <w:szCs w:val="32"/>
    </w:rPr>
  </w:style>
  <w:style w:type="paragraph" w:styleId="2">
    <w:name w:val="heading 2"/>
    <w:basedOn w:val="a"/>
    <w:next w:val="a"/>
    <w:link w:val="20"/>
    <w:uiPriority w:val="99"/>
    <w:qFormat/>
    <w:rsid w:val="0045201C"/>
    <w:pPr>
      <w:keepNext/>
      <w:spacing w:before="240" w:after="60" w:line="360" w:lineRule="atLeast"/>
      <w:jc w:val="both"/>
      <w:outlineLvl w:val="1"/>
    </w:pPr>
    <w:rPr>
      <w:rFonts w:ascii="Arial" w:hAnsi="Arial" w:cs="Arial"/>
      <w:b/>
      <w:bCs/>
      <w:i/>
      <w:iCs/>
      <w:sz w:val="28"/>
      <w:szCs w:val="28"/>
    </w:rPr>
  </w:style>
  <w:style w:type="paragraph" w:styleId="3">
    <w:name w:val="heading 3"/>
    <w:basedOn w:val="a"/>
    <w:next w:val="a"/>
    <w:link w:val="30"/>
    <w:uiPriority w:val="99"/>
    <w:qFormat/>
    <w:rsid w:val="0045201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07D40"/>
    <w:rPr>
      <w:rFonts w:ascii="Arial" w:hAnsi="Arial" w:cs="Arial"/>
      <w:b/>
      <w:bCs/>
      <w:kern w:val="32"/>
      <w:sz w:val="32"/>
      <w:szCs w:val="32"/>
      <w:lang w:val="ru-RU" w:eastAsia="ru-RU"/>
    </w:rPr>
  </w:style>
  <w:style w:type="character" w:customStyle="1" w:styleId="20">
    <w:name w:val="Заголовок 2 Знак"/>
    <w:basedOn w:val="a0"/>
    <w:link w:val="2"/>
    <w:uiPriority w:val="99"/>
    <w:semiHidden/>
    <w:locked/>
    <w:rsid w:val="00C07D40"/>
    <w:rPr>
      <w:rFonts w:ascii="Arial" w:hAnsi="Arial" w:cs="Arial"/>
      <w:b/>
      <w:bCs/>
      <w:i/>
      <w:iCs/>
      <w:sz w:val="28"/>
      <w:szCs w:val="28"/>
      <w:lang w:val="ru-RU" w:eastAsia="ru-RU"/>
    </w:rPr>
  </w:style>
  <w:style w:type="character" w:customStyle="1" w:styleId="30">
    <w:name w:val="Заголовок 3 Знак"/>
    <w:basedOn w:val="a0"/>
    <w:link w:val="3"/>
    <w:uiPriority w:val="99"/>
    <w:semiHidden/>
    <w:locked/>
    <w:rsid w:val="00C07D40"/>
    <w:rPr>
      <w:rFonts w:ascii="Arial" w:hAnsi="Arial" w:cs="Arial"/>
      <w:b/>
      <w:bCs/>
      <w:sz w:val="26"/>
      <w:szCs w:val="26"/>
      <w:lang w:val="ru-RU" w:eastAsia="ru-RU"/>
    </w:rPr>
  </w:style>
  <w:style w:type="table" w:styleId="a3">
    <w:name w:val="Table Grid"/>
    <w:basedOn w:val="a1"/>
    <w:uiPriority w:val="99"/>
    <w:rsid w:val="00636A47"/>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636A47"/>
    <w:pPr>
      <w:tabs>
        <w:tab w:val="center" w:pos="4677"/>
        <w:tab w:val="right" w:pos="9355"/>
      </w:tabs>
    </w:pPr>
  </w:style>
  <w:style w:type="character" w:customStyle="1" w:styleId="a5">
    <w:name w:val="Нижний колонтитул Знак"/>
    <w:basedOn w:val="a0"/>
    <w:link w:val="a4"/>
    <w:uiPriority w:val="99"/>
    <w:semiHidden/>
    <w:locked/>
    <w:rsid w:val="00C07D40"/>
    <w:rPr>
      <w:rFonts w:cs="Times New Roman"/>
      <w:sz w:val="24"/>
      <w:szCs w:val="24"/>
      <w:lang w:val="ru-RU" w:eastAsia="ru-RU"/>
    </w:rPr>
  </w:style>
  <w:style w:type="character" w:styleId="a6">
    <w:name w:val="page number"/>
    <w:basedOn w:val="a0"/>
    <w:uiPriority w:val="99"/>
    <w:rsid w:val="00636A47"/>
    <w:rPr>
      <w:rFonts w:cs="Times New Roman"/>
    </w:rPr>
  </w:style>
  <w:style w:type="paragraph" w:styleId="a7">
    <w:name w:val="header"/>
    <w:basedOn w:val="a"/>
    <w:link w:val="a8"/>
    <w:uiPriority w:val="99"/>
    <w:rsid w:val="00636A47"/>
    <w:pPr>
      <w:tabs>
        <w:tab w:val="center" w:pos="4677"/>
        <w:tab w:val="right" w:pos="9355"/>
      </w:tabs>
    </w:pPr>
  </w:style>
  <w:style w:type="character" w:customStyle="1" w:styleId="a8">
    <w:name w:val="Верхний колонтитул Знак"/>
    <w:basedOn w:val="a0"/>
    <w:link w:val="a7"/>
    <w:uiPriority w:val="99"/>
    <w:semiHidden/>
    <w:locked/>
    <w:rsid w:val="00C07D40"/>
    <w:rPr>
      <w:rFonts w:cs="Times New Roman"/>
      <w:sz w:val="24"/>
      <w:szCs w:val="24"/>
      <w:lang w:val="ru-RU" w:eastAsia="ru-RU"/>
    </w:rPr>
  </w:style>
  <w:style w:type="paragraph" w:customStyle="1" w:styleId="ConsNonformat">
    <w:name w:val="ConsNonformat"/>
    <w:uiPriority w:val="99"/>
    <w:rsid w:val="00636A47"/>
    <w:pPr>
      <w:widowControl w:val="0"/>
      <w:spacing w:after="0" w:line="240" w:lineRule="auto"/>
    </w:pPr>
    <w:rPr>
      <w:rFonts w:ascii="Courier New" w:hAnsi="Courier New" w:cs="Courier New"/>
      <w:sz w:val="20"/>
      <w:szCs w:val="20"/>
    </w:rPr>
  </w:style>
  <w:style w:type="paragraph" w:customStyle="1" w:styleId="ConsTitle">
    <w:name w:val="ConsTitle"/>
    <w:uiPriority w:val="99"/>
    <w:rsid w:val="00636A47"/>
    <w:pPr>
      <w:widowControl w:val="0"/>
      <w:spacing w:after="0" w:line="240" w:lineRule="auto"/>
    </w:pPr>
    <w:rPr>
      <w:rFonts w:ascii="Arial" w:hAnsi="Arial" w:cs="Arial"/>
      <w:b/>
      <w:bCs/>
      <w:sz w:val="16"/>
      <w:szCs w:val="16"/>
    </w:rPr>
  </w:style>
  <w:style w:type="paragraph" w:customStyle="1" w:styleId="a9">
    <w:name w:val="Знак"/>
    <w:basedOn w:val="a"/>
    <w:uiPriority w:val="99"/>
    <w:rsid w:val="00636A47"/>
    <w:pPr>
      <w:spacing w:after="160" w:line="240" w:lineRule="exact"/>
    </w:pPr>
    <w:rPr>
      <w:rFonts w:ascii="Verdana" w:hAnsi="Verdana" w:cs="Verdana"/>
      <w:sz w:val="20"/>
      <w:szCs w:val="20"/>
      <w:lang w:val="en-US" w:eastAsia="en-US"/>
    </w:rPr>
  </w:style>
  <w:style w:type="paragraph" w:customStyle="1" w:styleId="aa">
    <w:name w:val="Знак Знак Знак Знак Знак Знак Знак"/>
    <w:basedOn w:val="a"/>
    <w:rsid w:val="000D3CF6"/>
    <w:pPr>
      <w:spacing w:after="160" w:line="240" w:lineRule="exact"/>
    </w:pPr>
    <w:rPr>
      <w:rFonts w:ascii="Verdana" w:hAnsi="Verdana" w:cs="Verdana"/>
      <w:sz w:val="20"/>
      <w:szCs w:val="20"/>
      <w:lang w:val="en-US" w:eastAsia="en-US"/>
    </w:rPr>
  </w:style>
  <w:style w:type="paragraph" w:customStyle="1" w:styleId="ConsPlusNormal">
    <w:name w:val="ConsPlusNormal"/>
    <w:uiPriority w:val="99"/>
    <w:rsid w:val="000D3CF6"/>
    <w:pPr>
      <w:widowControl w:val="0"/>
      <w:autoSpaceDE w:val="0"/>
      <w:autoSpaceDN w:val="0"/>
      <w:adjustRightInd w:val="0"/>
      <w:spacing w:after="0" w:line="240" w:lineRule="auto"/>
    </w:pPr>
    <w:rPr>
      <w:rFonts w:ascii="Arial" w:hAnsi="Arial" w:cs="Arial"/>
      <w:sz w:val="20"/>
      <w:szCs w:val="20"/>
    </w:rPr>
  </w:style>
  <w:style w:type="paragraph" w:customStyle="1" w:styleId="ab">
    <w:name w:val="Знак Знак Знак Знак Знак"/>
    <w:basedOn w:val="a"/>
    <w:uiPriority w:val="99"/>
    <w:rsid w:val="00406DDC"/>
    <w:pPr>
      <w:spacing w:after="160" w:line="240" w:lineRule="exact"/>
    </w:pPr>
    <w:rPr>
      <w:rFonts w:ascii="Verdana" w:hAnsi="Verdana" w:cs="Verdana"/>
      <w:sz w:val="20"/>
      <w:szCs w:val="20"/>
      <w:lang w:val="en-US" w:eastAsia="en-US"/>
    </w:rPr>
  </w:style>
  <w:style w:type="character" w:styleId="ac">
    <w:name w:val="Hyperlink"/>
    <w:basedOn w:val="a0"/>
    <w:uiPriority w:val="99"/>
    <w:rsid w:val="00C40939"/>
    <w:rPr>
      <w:rFonts w:cs="Times New Roman"/>
      <w:color w:val="0000FF"/>
      <w:u w:val="single"/>
    </w:rPr>
  </w:style>
  <w:style w:type="paragraph" w:styleId="ad">
    <w:name w:val="Normal (Web)"/>
    <w:basedOn w:val="a"/>
    <w:uiPriority w:val="99"/>
    <w:rsid w:val="0045201C"/>
    <w:pPr>
      <w:spacing w:before="45" w:after="45"/>
    </w:pPr>
    <w:rPr>
      <w:rFonts w:ascii="Arial" w:hAnsi="Arial" w:cs="Arial"/>
      <w:sz w:val="16"/>
      <w:szCs w:val="16"/>
      <w:lang w:val="en-US" w:eastAsia="en-US"/>
    </w:rPr>
  </w:style>
  <w:style w:type="paragraph" w:customStyle="1" w:styleId="fieldcomment">
    <w:name w:val="field_comment"/>
    <w:basedOn w:val="a"/>
    <w:uiPriority w:val="99"/>
    <w:rsid w:val="0045201C"/>
    <w:pPr>
      <w:spacing w:before="45" w:after="45"/>
    </w:pPr>
    <w:rPr>
      <w:rFonts w:ascii="Arial" w:hAnsi="Arial" w:cs="Arial"/>
      <w:sz w:val="9"/>
      <w:szCs w:val="9"/>
      <w:lang w:val="en-US" w:eastAsia="en-US"/>
    </w:rPr>
  </w:style>
  <w:style w:type="paragraph" w:customStyle="1" w:styleId="fieldname">
    <w:name w:val="field_name"/>
    <w:basedOn w:val="a"/>
    <w:uiPriority w:val="99"/>
    <w:rsid w:val="0045201C"/>
    <w:pPr>
      <w:spacing w:before="45" w:after="45"/>
      <w:jc w:val="right"/>
    </w:pPr>
    <w:rPr>
      <w:rFonts w:ascii="Arial" w:hAnsi="Arial" w:cs="Arial"/>
      <w:b/>
      <w:bCs/>
      <w:sz w:val="16"/>
      <w:szCs w:val="16"/>
      <w:lang w:val="en-US" w:eastAsia="en-US"/>
    </w:rPr>
  </w:style>
  <w:style w:type="paragraph" w:customStyle="1" w:styleId="signfield">
    <w:name w:val="sign_field"/>
    <w:basedOn w:val="a"/>
    <w:uiPriority w:val="99"/>
    <w:rsid w:val="0045201C"/>
    <w:pPr>
      <w:pBdr>
        <w:bottom w:val="single" w:sz="8" w:space="0" w:color="000000"/>
      </w:pBdr>
      <w:spacing w:before="375" w:after="150"/>
      <w:textAlignment w:val="top"/>
    </w:pPr>
    <w:rPr>
      <w:rFonts w:ascii="Arial" w:hAnsi="Arial" w:cs="Arial"/>
      <w:sz w:val="16"/>
      <w:szCs w:val="16"/>
      <w:lang w:val="en-US" w:eastAsia="en-US"/>
    </w:rPr>
  </w:style>
  <w:style w:type="paragraph" w:customStyle="1" w:styleId="stampfield">
    <w:name w:val="stamp_field"/>
    <w:basedOn w:val="a"/>
    <w:uiPriority w:val="99"/>
    <w:rsid w:val="0045201C"/>
    <w:pPr>
      <w:spacing w:after="150"/>
      <w:ind w:left="6120"/>
      <w:jc w:val="center"/>
      <w:textAlignment w:val="top"/>
    </w:pPr>
    <w:rPr>
      <w:rFonts w:ascii="Arial" w:hAnsi="Arial" w:cs="Arial"/>
      <w:sz w:val="20"/>
      <w:szCs w:val="20"/>
      <w:lang w:val="en-US" w:eastAsia="en-US"/>
    </w:rPr>
  </w:style>
  <w:style w:type="paragraph" w:customStyle="1" w:styleId="fielddata">
    <w:name w:val="field_data"/>
    <w:basedOn w:val="a"/>
    <w:uiPriority w:val="99"/>
    <w:rsid w:val="0045201C"/>
    <w:pPr>
      <w:spacing w:before="45" w:after="45"/>
    </w:pPr>
    <w:rPr>
      <w:rFonts w:ascii="Arial" w:hAnsi="Arial" w:cs="Arial"/>
      <w:sz w:val="16"/>
      <w:szCs w:val="16"/>
      <w:lang w:val="en-US" w:eastAsia="en-US"/>
    </w:rPr>
  </w:style>
  <w:style w:type="character" w:customStyle="1" w:styleId="fieldcomment1">
    <w:name w:val="field_comment1"/>
    <w:basedOn w:val="a0"/>
    <w:uiPriority w:val="99"/>
    <w:rsid w:val="0045201C"/>
    <w:rPr>
      <w:rFonts w:cs="Times New Roman"/>
      <w:sz w:val="9"/>
      <w:szCs w:val="9"/>
    </w:rPr>
  </w:style>
  <w:style w:type="paragraph" w:customStyle="1" w:styleId="21">
    <w:name w:val="Стиль2"/>
    <w:basedOn w:val="3"/>
    <w:uiPriority w:val="99"/>
    <w:rsid w:val="0045201C"/>
    <w:pPr>
      <w:shd w:val="clear" w:color="auto" w:fill="C0C0C0"/>
      <w:autoSpaceDE w:val="0"/>
      <w:autoSpaceDN w:val="0"/>
      <w:spacing w:before="150" w:after="0"/>
      <w:jc w:val="center"/>
    </w:pPr>
    <w:rPr>
      <w:rFonts w:ascii="Times New Roman CYR" w:hAnsi="Times New Roman CYR" w:cs="Times New Roman CYR"/>
      <w:sz w:val="24"/>
      <w:szCs w:val="24"/>
    </w:rPr>
  </w:style>
  <w:style w:type="paragraph" w:customStyle="1" w:styleId="ae">
    <w:name w:val="Стиль"/>
    <w:basedOn w:val="a"/>
    <w:next w:val="ad"/>
    <w:uiPriority w:val="99"/>
    <w:rsid w:val="0045201C"/>
    <w:pPr>
      <w:spacing w:before="45" w:after="45"/>
    </w:pPr>
    <w:rPr>
      <w:rFonts w:ascii="Arial" w:hAnsi="Arial" w:cs="Arial"/>
      <w:sz w:val="16"/>
      <w:szCs w:val="16"/>
      <w:lang w:val="en-US" w:eastAsia="en-US"/>
    </w:rPr>
  </w:style>
  <w:style w:type="paragraph" w:customStyle="1" w:styleId="af">
    <w:name w:val="Постановление"/>
    <w:basedOn w:val="a"/>
    <w:uiPriority w:val="99"/>
    <w:rsid w:val="00C07D40"/>
    <w:pPr>
      <w:spacing w:line="360" w:lineRule="atLeast"/>
      <w:jc w:val="center"/>
    </w:pPr>
    <w:rPr>
      <w:rFonts w:ascii="Times New Roman CYR" w:hAnsi="Times New Roman CYR" w:cs="Times New Roman CYR"/>
      <w:spacing w:val="6"/>
      <w:sz w:val="32"/>
      <w:szCs w:val="32"/>
    </w:rPr>
  </w:style>
  <w:style w:type="paragraph" w:customStyle="1" w:styleId="22">
    <w:name w:val="Вертикальный отступ 2"/>
    <w:basedOn w:val="a"/>
    <w:uiPriority w:val="99"/>
    <w:rsid w:val="00C07D40"/>
    <w:pPr>
      <w:jc w:val="center"/>
    </w:pPr>
    <w:rPr>
      <w:rFonts w:ascii="Times New Roman CYR" w:hAnsi="Times New Roman CYR" w:cs="Times New Roman CYR"/>
      <w:b/>
      <w:bCs/>
      <w:sz w:val="32"/>
      <w:szCs w:val="32"/>
    </w:rPr>
  </w:style>
  <w:style w:type="paragraph" w:customStyle="1" w:styleId="11">
    <w:name w:val="Вертикальный отступ 1"/>
    <w:basedOn w:val="a"/>
    <w:uiPriority w:val="99"/>
    <w:rsid w:val="00C07D40"/>
    <w:pPr>
      <w:jc w:val="center"/>
    </w:pPr>
    <w:rPr>
      <w:rFonts w:ascii="Times New Roman CYR" w:hAnsi="Times New Roman CYR" w:cs="Times New Roman CYR"/>
      <w:sz w:val="28"/>
      <w:szCs w:val="28"/>
      <w:lang w:val="en-US"/>
    </w:rPr>
  </w:style>
  <w:style w:type="paragraph" w:customStyle="1" w:styleId="af0">
    <w:name w:val="Номер"/>
    <w:basedOn w:val="a"/>
    <w:uiPriority w:val="99"/>
    <w:rsid w:val="00C07D40"/>
    <w:pPr>
      <w:spacing w:before="60" w:after="60"/>
      <w:jc w:val="center"/>
    </w:pPr>
    <w:rPr>
      <w:rFonts w:ascii="Times New Roman CYR" w:hAnsi="Times New Roman CYR" w:cs="Times New Roman CYR"/>
      <w:sz w:val="28"/>
      <w:szCs w:val="28"/>
    </w:rPr>
  </w:style>
  <w:style w:type="paragraph" w:styleId="af1">
    <w:name w:val="Body Text Indent"/>
    <w:basedOn w:val="a"/>
    <w:link w:val="af2"/>
    <w:uiPriority w:val="99"/>
    <w:rsid w:val="00C07D40"/>
    <w:pPr>
      <w:spacing w:line="240" w:lineRule="atLeast"/>
      <w:ind w:left="4990"/>
      <w:jc w:val="center"/>
    </w:pPr>
    <w:rPr>
      <w:rFonts w:ascii="Times New Roman CYR" w:hAnsi="Times New Roman CYR" w:cs="Times New Roman CYR"/>
      <w:sz w:val="28"/>
      <w:szCs w:val="28"/>
    </w:rPr>
  </w:style>
  <w:style w:type="character" w:customStyle="1" w:styleId="af2">
    <w:name w:val="Основной текст с отступом Знак"/>
    <w:basedOn w:val="a0"/>
    <w:link w:val="af1"/>
    <w:uiPriority w:val="99"/>
    <w:semiHidden/>
    <w:locked/>
    <w:rsid w:val="00C07D40"/>
    <w:rPr>
      <w:rFonts w:ascii="Times New Roman CYR" w:hAnsi="Times New Roman CYR" w:cs="Times New Roman CYR"/>
      <w:sz w:val="28"/>
      <w:szCs w:val="28"/>
      <w:lang w:val="ru-RU" w:eastAsia="ru-RU"/>
    </w:rPr>
  </w:style>
  <w:style w:type="character" w:customStyle="1" w:styleId="s101">
    <w:name w:val="s_101"/>
    <w:basedOn w:val="a0"/>
    <w:uiPriority w:val="99"/>
    <w:rsid w:val="00C07D40"/>
    <w:rPr>
      <w:rFonts w:cs="Times New Roman"/>
      <w:b/>
      <w:bCs/>
      <w:color w:val="000080"/>
      <w:u w:val="none"/>
      <w:effect w:val="none"/>
    </w:rPr>
  </w:style>
  <w:style w:type="paragraph" w:customStyle="1" w:styleId="12">
    <w:name w:val="Стиль1"/>
    <w:basedOn w:val="ConsNonformat"/>
    <w:uiPriority w:val="99"/>
    <w:rsid w:val="00C07D40"/>
    <w:pPr>
      <w:widowControl/>
    </w:pPr>
    <w:rPr>
      <w:rFonts w:ascii="Times New Roman CYR" w:hAnsi="Times New Roman CYR" w:cs="Times New Roman CYR"/>
      <w:sz w:val="24"/>
      <w:szCs w:val="24"/>
      <w:lang w:val="en-US"/>
    </w:rPr>
  </w:style>
  <w:style w:type="paragraph" w:customStyle="1" w:styleId="Iauiue">
    <w:name w:val="Iau?iue"/>
    <w:uiPriority w:val="99"/>
    <w:rsid w:val="00C07D40"/>
    <w:pPr>
      <w:spacing w:after="0" w:line="240" w:lineRule="auto"/>
    </w:pPr>
    <w:rPr>
      <w:rFonts w:ascii="Times New Roman CYR" w:hAnsi="Times New Roman CYR" w:cs="Times New Roman CYR"/>
      <w:sz w:val="20"/>
      <w:szCs w:val="20"/>
    </w:rPr>
  </w:style>
  <w:style w:type="paragraph" w:styleId="af3">
    <w:name w:val="Balloon Text"/>
    <w:basedOn w:val="a"/>
    <w:link w:val="af4"/>
    <w:uiPriority w:val="99"/>
    <w:semiHidden/>
    <w:rsid w:val="00C07D40"/>
    <w:pPr>
      <w:jc w:val="both"/>
    </w:pPr>
    <w:rPr>
      <w:rFonts w:ascii="Tahoma" w:hAnsi="Tahoma" w:cs="Tahoma"/>
      <w:sz w:val="16"/>
      <w:szCs w:val="16"/>
    </w:rPr>
  </w:style>
  <w:style w:type="character" w:customStyle="1" w:styleId="af4">
    <w:name w:val="Текст выноски Знак"/>
    <w:basedOn w:val="a0"/>
    <w:link w:val="af3"/>
    <w:uiPriority w:val="99"/>
    <w:semiHidden/>
    <w:locked/>
    <w:rsid w:val="00C07D40"/>
    <w:rPr>
      <w:rFonts w:ascii="Tahoma" w:hAnsi="Tahoma" w:cs="Tahoma"/>
      <w:sz w:val="16"/>
      <w:szCs w:val="16"/>
      <w:lang w:val="ru-RU" w:eastAsia="ru-RU"/>
    </w:rPr>
  </w:style>
  <w:style w:type="paragraph" w:styleId="af5">
    <w:name w:val="Document Map"/>
    <w:basedOn w:val="a"/>
    <w:link w:val="af6"/>
    <w:uiPriority w:val="99"/>
    <w:semiHidden/>
    <w:rsid w:val="00C07D40"/>
    <w:pPr>
      <w:spacing w:line="360" w:lineRule="atLeast"/>
      <w:jc w:val="both"/>
    </w:pPr>
    <w:rPr>
      <w:rFonts w:ascii="Tahoma" w:hAnsi="Tahoma" w:cs="Tahoma"/>
      <w:sz w:val="16"/>
      <w:szCs w:val="16"/>
    </w:rPr>
  </w:style>
  <w:style w:type="character" w:customStyle="1" w:styleId="af6">
    <w:name w:val="Схема документа Знак"/>
    <w:basedOn w:val="a0"/>
    <w:link w:val="af5"/>
    <w:uiPriority w:val="99"/>
    <w:semiHidden/>
    <w:locked/>
    <w:rsid w:val="00C07D40"/>
    <w:rPr>
      <w:rFonts w:ascii="Tahoma" w:hAnsi="Tahoma" w:cs="Tahoma"/>
      <w:sz w:val="16"/>
      <w:szCs w:val="16"/>
      <w:lang w:val="ru-RU" w:eastAsia="ru-RU"/>
    </w:rPr>
  </w:style>
  <w:style w:type="paragraph" w:styleId="af7">
    <w:name w:val="annotation text"/>
    <w:basedOn w:val="a"/>
    <w:link w:val="af8"/>
    <w:uiPriority w:val="99"/>
    <w:semiHidden/>
    <w:rsid w:val="00C07D40"/>
    <w:pPr>
      <w:spacing w:line="360" w:lineRule="atLeast"/>
      <w:jc w:val="both"/>
    </w:pPr>
    <w:rPr>
      <w:rFonts w:ascii="Times New Roman CYR" w:hAnsi="Times New Roman CYR" w:cs="Times New Roman CYR"/>
      <w:sz w:val="20"/>
      <w:szCs w:val="20"/>
    </w:rPr>
  </w:style>
  <w:style w:type="character" w:customStyle="1" w:styleId="af8">
    <w:name w:val="Текст примечания Знак"/>
    <w:basedOn w:val="a0"/>
    <w:link w:val="af7"/>
    <w:uiPriority w:val="99"/>
    <w:semiHidden/>
    <w:locked/>
    <w:rsid w:val="00C07D40"/>
    <w:rPr>
      <w:rFonts w:ascii="Times New Roman CYR" w:hAnsi="Times New Roman CYR" w:cs="Times New Roman CYR"/>
      <w:lang w:val="ru-RU" w:eastAsia="ru-RU"/>
    </w:rPr>
  </w:style>
  <w:style w:type="paragraph" w:styleId="af9">
    <w:name w:val="annotation subject"/>
    <w:basedOn w:val="af7"/>
    <w:next w:val="af7"/>
    <w:link w:val="afa"/>
    <w:uiPriority w:val="99"/>
    <w:semiHidden/>
    <w:rsid w:val="00C07D40"/>
    <w:rPr>
      <w:b/>
      <w:bCs/>
    </w:rPr>
  </w:style>
  <w:style w:type="character" w:customStyle="1" w:styleId="afa">
    <w:name w:val="Тема примечания Знак"/>
    <w:basedOn w:val="af8"/>
    <w:link w:val="af9"/>
    <w:uiPriority w:val="99"/>
    <w:semiHidden/>
    <w:locked/>
    <w:rsid w:val="00C07D40"/>
    <w:rPr>
      <w:rFonts w:ascii="Times New Roman CYR" w:hAnsi="Times New Roman CYR" w:cs="Times New Roman CYR"/>
      <w:b/>
      <w:bCs/>
      <w:lang w:val="ru-RU" w:eastAsia="ru-RU"/>
    </w:rPr>
  </w:style>
  <w:style w:type="paragraph" w:styleId="afb">
    <w:name w:val="List Paragraph"/>
    <w:basedOn w:val="a"/>
    <w:uiPriority w:val="34"/>
    <w:qFormat/>
    <w:rsid w:val="00C07D40"/>
    <w:pPr>
      <w:spacing w:after="200" w:line="276" w:lineRule="auto"/>
      <w:ind w:left="720"/>
    </w:pPr>
    <w:rPr>
      <w:rFonts w:ascii="Calibri" w:hAnsi="Calibri" w:cs="Calibri"/>
      <w:sz w:val="22"/>
      <w:szCs w:val="22"/>
      <w:lang w:eastAsia="en-US"/>
    </w:rPr>
  </w:style>
  <w:style w:type="paragraph" w:styleId="HTML">
    <w:name w:val="HTML Preformatted"/>
    <w:basedOn w:val="a"/>
    <w:link w:val="HTML0"/>
    <w:uiPriority w:val="99"/>
    <w:unhideWhenUsed/>
    <w:rsid w:val="005612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locked/>
    <w:rsid w:val="005612CA"/>
    <w:rPr>
      <w:rFonts w:ascii="Courier New" w:hAnsi="Courier New" w:cs="Courier New"/>
      <w:sz w:val="20"/>
      <w:szCs w:val="20"/>
    </w:rPr>
  </w:style>
  <w:style w:type="character" w:styleId="afc">
    <w:name w:val="annotation reference"/>
    <w:basedOn w:val="a0"/>
    <w:uiPriority w:val="99"/>
    <w:semiHidden/>
    <w:unhideWhenUsed/>
    <w:rsid w:val="00927344"/>
    <w:rPr>
      <w:rFonts w:cs="Times New Roman"/>
      <w:sz w:val="16"/>
    </w:rPr>
  </w:style>
  <w:style w:type="paragraph" w:customStyle="1" w:styleId="TableParagraph">
    <w:name w:val="Table Paragraph"/>
    <w:basedOn w:val="a"/>
    <w:uiPriority w:val="1"/>
    <w:qFormat/>
    <w:rsid w:val="00643662"/>
    <w:pPr>
      <w:widowControl w:val="0"/>
      <w:autoSpaceDE w:val="0"/>
      <w:autoSpaceDN w:val="0"/>
      <w:ind w:left="107"/>
      <w:jc w:val="both"/>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02010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71308-1136-4B4E-9A6C-C7BFA582A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5250</Words>
  <Characters>38390</Characters>
  <Application>Microsoft Office Word</Application>
  <DocSecurity>0</DocSecurity>
  <Lines>319</Lines>
  <Paragraphs>87</Paragraphs>
  <ScaleCrop>false</ScaleCrop>
  <HeadingPairs>
    <vt:vector size="2" baseType="variant">
      <vt:variant>
        <vt:lpstr>Название</vt:lpstr>
      </vt:variant>
      <vt:variant>
        <vt:i4>1</vt:i4>
      </vt:variant>
    </vt:vector>
  </HeadingPairs>
  <TitlesOfParts>
    <vt:vector size="1" baseType="lpstr">
      <vt:lpstr>Утверждены</vt:lpstr>
    </vt:vector>
  </TitlesOfParts>
  <Company/>
  <LinksUpToDate>false</LinksUpToDate>
  <CharactersWithSpaces>43553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dc:title>
  <dc:subject/>
  <dc:creator>office</dc:creator>
  <cp:keywords/>
  <dc:description/>
  <cp:lastModifiedBy>Долбнин Николай Владиславович</cp:lastModifiedBy>
  <cp:revision>4</cp:revision>
  <cp:lastPrinted>2020-03-11T14:33:00Z</cp:lastPrinted>
  <dcterms:created xsi:type="dcterms:W3CDTF">2026-10-14T07:55:00Z</dcterms:created>
  <dcterms:modified xsi:type="dcterms:W3CDTF">2026-10-14T13:01:00Z</dcterms:modified>
</cp:coreProperties>
</file>