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3E5838">
              <w:rPr>
                <w:b/>
                <w:color w:val="000000" w:themeColor="text1"/>
              </w:rPr>
              <w:t>27.02</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3E5838">
              <w:t>4</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3E5838" w:rsidRDefault="003E5838" w:rsidP="003E5838">
            <w:pPr>
              <w:jc w:val="center"/>
              <w:outlineLvl w:val="2"/>
              <w:rPr>
                <w:rFonts w:ascii="Arial" w:eastAsia="Times New Roman" w:hAnsi="Arial" w:cs="Arial"/>
                <w:sz w:val="18"/>
                <w:szCs w:val="18"/>
              </w:rPr>
            </w:pPr>
            <w:r w:rsidRPr="003E5838">
              <w:rPr>
                <w:rFonts w:ascii="Times New Roman" w:hAnsi="Times New Roman"/>
                <w:sz w:val="24"/>
                <w:szCs w:val="24"/>
              </w:rPr>
              <w:t>93,43</w:t>
            </w:r>
            <w:r>
              <w:rPr>
                <w:rFonts w:ascii="Arial" w:hAnsi="Arial" w:cs="Arial"/>
                <w:sz w:val="18"/>
                <w:szCs w:val="18"/>
              </w:rPr>
              <w:t xml:space="preserve"> </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3E5838" w:rsidRDefault="003E5838" w:rsidP="003E5838">
            <w:pPr>
              <w:jc w:val="center"/>
              <w:outlineLvl w:val="2"/>
              <w:rPr>
                <w:rFonts w:ascii="Arial" w:eastAsia="Times New Roman" w:hAnsi="Arial" w:cs="Arial"/>
                <w:sz w:val="18"/>
                <w:szCs w:val="18"/>
              </w:rPr>
            </w:pPr>
            <w:r w:rsidRPr="003E5838">
              <w:rPr>
                <w:rFonts w:ascii="Times New Roman" w:hAnsi="Times New Roman"/>
                <w:sz w:val="24"/>
                <w:szCs w:val="24"/>
              </w:rPr>
              <w:t xml:space="preserve">3,85 </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3E5838" w:rsidRDefault="003E5838" w:rsidP="003E5838">
            <w:pPr>
              <w:jc w:val="center"/>
              <w:outlineLvl w:val="2"/>
              <w:rPr>
                <w:rFonts w:ascii="Arial" w:eastAsia="Times New Roman" w:hAnsi="Arial" w:cs="Arial"/>
                <w:sz w:val="18"/>
                <w:szCs w:val="18"/>
              </w:rPr>
            </w:pPr>
            <w:r w:rsidRPr="003E5838">
              <w:rPr>
                <w:rFonts w:ascii="Times New Roman" w:hAnsi="Times New Roman"/>
                <w:sz w:val="24"/>
                <w:szCs w:val="24"/>
              </w:rPr>
              <w:t>1,20</w:t>
            </w:r>
            <w:r>
              <w:rPr>
                <w:rFonts w:ascii="Arial" w:hAnsi="Arial" w:cs="Arial"/>
                <w:sz w:val="18"/>
                <w:szCs w:val="18"/>
              </w:rPr>
              <w:t xml:space="preserve"> </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A2751D">
            <w:pPr>
              <w:pStyle w:val="ConsPlusNormal"/>
              <w:jc w:val="center"/>
            </w:pPr>
            <w:r>
              <w:t>0,36</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3E5838" w:rsidP="00A2751D">
            <w:pPr>
              <w:pStyle w:val="ConsPlusNormal"/>
              <w:jc w:val="center"/>
            </w:pPr>
            <w:r>
              <w:t>0,26</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E6BFF">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FE6BFF" w:rsidP="00A2751D">
            <w:pPr>
              <w:pStyle w:val="ConsPlusNormal"/>
              <w:jc w:val="center"/>
            </w:pPr>
            <w:r>
              <w:rPr>
                <w:noProof/>
              </w:rPr>
              <w:drawing>
                <wp:inline distT="0" distB="0" distL="0" distR="0" wp14:anchorId="55DAF200" wp14:editId="4B82C1E4">
                  <wp:extent cx="2985135" cy="2638425"/>
                  <wp:effectExtent l="0" t="0" r="571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sidR="008B4F78">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8B4F78" w:rsidTr="003C17E6">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8B4F78" w:rsidRDefault="008B4F78" w:rsidP="008B4F78">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Pr="00900135" w:rsidRDefault="008B4F78" w:rsidP="008B4F78">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Default="008B4F78" w:rsidP="008B4F78">
            <w:pPr>
              <w:jc w:val="right"/>
              <w:rPr>
                <w:rFonts w:ascii="Calibri" w:eastAsia="Times New Roman" w:hAnsi="Calibri" w:cs="Calibri"/>
              </w:rPr>
            </w:pPr>
            <w:r>
              <w:rPr>
                <w:rFonts w:ascii="Calibri" w:hAnsi="Calibri" w:cs="Calibri"/>
              </w:rPr>
              <w:t>1,08%</w:t>
            </w:r>
          </w:p>
        </w:tc>
        <w:tc>
          <w:tcPr>
            <w:tcW w:w="1983" w:type="dxa"/>
            <w:gridSpan w:val="2"/>
            <w:tcBorders>
              <w:top w:val="single" w:sz="4" w:space="0" w:color="auto"/>
              <w:left w:val="nil"/>
              <w:bottom w:val="single" w:sz="4" w:space="0" w:color="auto"/>
              <w:right w:val="nil"/>
            </w:tcBorders>
            <w:shd w:val="clear" w:color="auto" w:fill="auto"/>
            <w:vAlign w:val="center"/>
          </w:tcPr>
          <w:p w:rsidR="008B4F78" w:rsidRDefault="008B4F78" w:rsidP="008B4F78">
            <w:pPr>
              <w:jc w:val="center"/>
              <w:rPr>
                <w:rFonts w:ascii="Calibri" w:eastAsia="Times New Roman" w:hAnsi="Calibri" w:cs="Calibri"/>
                <w:color w:val="000000"/>
              </w:rPr>
            </w:pPr>
            <w:r>
              <w:rPr>
                <w:rFonts w:ascii="Calibri" w:hAnsi="Calibri" w:cs="Calibri"/>
                <w:color w:val="000000"/>
              </w:rPr>
              <w:t>-0,54%</w:t>
            </w:r>
          </w:p>
        </w:tc>
        <w:tc>
          <w:tcPr>
            <w:tcW w:w="144" w:type="dxa"/>
            <w:vMerge/>
            <w:tcBorders>
              <w:top w:val="single" w:sz="4" w:space="0" w:color="auto"/>
              <w:left w:val="single" w:sz="4" w:space="0" w:color="auto"/>
            </w:tcBorders>
          </w:tcPr>
          <w:p w:rsidR="008B4F78" w:rsidRPr="0020563C" w:rsidRDefault="008B4F78" w:rsidP="008B4F78">
            <w:pPr>
              <w:pStyle w:val="ConsPlusNormal"/>
              <w:jc w:val="center"/>
            </w:pPr>
          </w:p>
        </w:tc>
      </w:tr>
      <w:tr w:rsidR="008B4F78" w:rsidTr="003C17E6">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8B4F78" w:rsidRDefault="008B4F78" w:rsidP="008B4F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Pr="00900135" w:rsidRDefault="008B4F78" w:rsidP="008B4F78">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Default="008B4F78" w:rsidP="008B4F78">
            <w:pPr>
              <w:jc w:val="right"/>
              <w:rPr>
                <w:rFonts w:ascii="Calibri" w:hAnsi="Calibri" w:cs="Calibri"/>
              </w:rPr>
            </w:pPr>
            <w:r>
              <w:rPr>
                <w:rFonts w:ascii="Calibri" w:hAnsi="Calibri" w:cs="Calibri"/>
              </w:rPr>
              <w:t>4,77%</w:t>
            </w:r>
          </w:p>
        </w:tc>
        <w:tc>
          <w:tcPr>
            <w:tcW w:w="1983" w:type="dxa"/>
            <w:gridSpan w:val="2"/>
            <w:tcBorders>
              <w:top w:val="single" w:sz="4" w:space="0" w:color="auto"/>
              <w:left w:val="nil"/>
              <w:bottom w:val="single" w:sz="4" w:space="0" w:color="auto"/>
              <w:right w:val="nil"/>
            </w:tcBorders>
            <w:shd w:val="clear" w:color="auto" w:fill="auto"/>
            <w:vAlign w:val="center"/>
          </w:tcPr>
          <w:p w:rsidR="008B4F78" w:rsidRDefault="008B4F78" w:rsidP="008B4F78">
            <w:pPr>
              <w:jc w:val="center"/>
              <w:rPr>
                <w:rFonts w:ascii="Calibri" w:hAnsi="Calibri" w:cs="Calibri"/>
                <w:color w:val="000000"/>
              </w:rPr>
            </w:pPr>
            <w:r>
              <w:rPr>
                <w:rFonts w:ascii="Calibri" w:hAnsi="Calibri" w:cs="Calibri"/>
                <w:color w:val="000000"/>
              </w:rPr>
              <w:t>1,20%</w:t>
            </w:r>
          </w:p>
        </w:tc>
        <w:tc>
          <w:tcPr>
            <w:tcW w:w="144" w:type="dxa"/>
            <w:vMerge/>
            <w:tcBorders>
              <w:top w:val="single" w:sz="4" w:space="0" w:color="auto"/>
              <w:left w:val="single" w:sz="4" w:space="0" w:color="auto"/>
            </w:tcBorders>
          </w:tcPr>
          <w:p w:rsidR="008B4F78" w:rsidRDefault="008B4F78" w:rsidP="008B4F78">
            <w:pPr>
              <w:pStyle w:val="ConsPlusNormal"/>
            </w:pPr>
          </w:p>
        </w:tc>
      </w:tr>
      <w:tr w:rsidR="008B4F78" w:rsidTr="003C17E6">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8B4F78" w:rsidRDefault="008B4F78" w:rsidP="008B4F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Pr="00900135" w:rsidRDefault="008B4F78" w:rsidP="008B4F78">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Default="008B4F78" w:rsidP="008B4F78">
            <w:pPr>
              <w:jc w:val="right"/>
              <w:rPr>
                <w:rFonts w:ascii="Calibri" w:hAnsi="Calibri" w:cs="Calibri"/>
              </w:rPr>
            </w:pPr>
            <w:r>
              <w:rPr>
                <w:rFonts w:ascii="Calibri" w:hAnsi="Calibri" w:cs="Calibri"/>
              </w:rPr>
              <w:t>8,65%</w:t>
            </w:r>
          </w:p>
        </w:tc>
        <w:tc>
          <w:tcPr>
            <w:tcW w:w="1983" w:type="dxa"/>
            <w:gridSpan w:val="2"/>
            <w:tcBorders>
              <w:top w:val="single" w:sz="4" w:space="0" w:color="auto"/>
              <w:left w:val="nil"/>
              <w:bottom w:val="single" w:sz="4" w:space="0" w:color="auto"/>
              <w:right w:val="nil"/>
            </w:tcBorders>
            <w:shd w:val="clear" w:color="auto" w:fill="auto"/>
            <w:vAlign w:val="center"/>
          </w:tcPr>
          <w:p w:rsidR="008B4F78" w:rsidRDefault="008B4F78" w:rsidP="008B4F78">
            <w:pPr>
              <w:jc w:val="center"/>
              <w:rPr>
                <w:rFonts w:ascii="Calibri" w:hAnsi="Calibri" w:cs="Calibri"/>
                <w:color w:val="000000"/>
              </w:rPr>
            </w:pPr>
            <w:r>
              <w:rPr>
                <w:rFonts w:ascii="Calibri" w:hAnsi="Calibri" w:cs="Calibri"/>
                <w:color w:val="000000"/>
              </w:rPr>
              <w:t>3,79%</w:t>
            </w:r>
          </w:p>
        </w:tc>
        <w:tc>
          <w:tcPr>
            <w:tcW w:w="144" w:type="dxa"/>
            <w:vMerge/>
            <w:tcBorders>
              <w:top w:val="single" w:sz="4" w:space="0" w:color="auto"/>
              <w:left w:val="single" w:sz="4" w:space="0" w:color="auto"/>
            </w:tcBorders>
          </w:tcPr>
          <w:p w:rsidR="008B4F78" w:rsidRDefault="008B4F78" w:rsidP="008B4F78">
            <w:pPr>
              <w:pStyle w:val="ConsPlusNormal"/>
            </w:pPr>
          </w:p>
        </w:tc>
      </w:tr>
      <w:tr w:rsidR="008B4F78" w:rsidTr="003C17E6">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8B4F78" w:rsidRDefault="008B4F78" w:rsidP="008B4F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Pr="00900135" w:rsidRDefault="008B4F78" w:rsidP="008B4F78">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Default="008B4F78" w:rsidP="008B4F78">
            <w:pPr>
              <w:jc w:val="right"/>
              <w:rPr>
                <w:rFonts w:ascii="Calibri" w:hAnsi="Calibri" w:cs="Calibri"/>
              </w:rPr>
            </w:pPr>
            <w:r>
              <w:rPr>
                <w:rFonts w:ascii="Calibri" w:hAnsi="Calibri" w:cs="Calibri"/>
              </w:rPr>
              <w:t>173,43%</w:t>
            </w:r>
          </w:p>
        </w:tc>
        <w:tc>
          <w:tcPr>
            <w:tcW w:w="1983" w:type="dxa"/>
            <w:gridSpan w:val="2"/>
            <w:tcBorders>
              <w:top w:val="single" w:sz="4" w:space="0" w:color="auto"/>
              <w:left w:val="nil"/>
              <w:bottom w:val="single" w:sz="4" w:space="0" w:color="auto"/>
              <w:right w:val="nil"/>
            </w:tcBorders>
            <w:shd w:val="clear" w:color="auto" w:fill="auto"/>
            <w:vAlign w:val="center"/>
          </w:tcPr>
          <w:p w:rsidR="008B4F78" w:rsidRDefault="008B4F78" w:rsidP="008B4F78">
            <w:pPr>
              <w:jc w:val="center"/>
              <w:rPr>
                <w:rFonts w:ascii="Calibri" w:hAnsi="Calibri" w:cs="Calibri"/>
                <w:color w:val="000000"/>
              </w:rPr>
            </w:pPr>
            <w:r>
              <w:rPr>
                <w:rFonts w:ascii="Calibri" w:hAnsi="Calibri" w:cs="Calibri"/>
                <w:color w:val="000000"/>
              </w:rPr>
              <w:t>166,65%</w:t>
            </w:r>
          </w:p>
        </w:tc>
        <w:tc>
          <w:tcPr>
            <w:tcW w:w="144" w:type="dxa"/>
            <w:vMerge/>
            <w:tcBorders>
              <w:top w:val="single" w:sz="4" w:space="0" w:color="auto"/>
              <w:left w:val="single" w:sz="4" w:space="0" w:color="auto"/>
            </w:tcBorders>
          </w:tcPr>
          <w:p w:rsidR="008B4F78" w:rsidRDefault="008B4F78" w:rsidP="008B4F78">
            <w:pPr>
              <w:pStyle w:val="ConsPlusNormal"/>
            </w:pPr>
          </w:p>
        </w:tc>
      </w:tr>
      <w:tr w:rsidR="008B4F78" w:rsidRPr="00EA3F32" w:rsidTr="003C17E6">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8B4F78" w:rsidRDefault="008B4F78" w:rsidP="008B4F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Pr="00900135" w:rsidRDefault="008B4F78" w:rsidP="008B4F78">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Default="008B4F78" w:rsidP="008B4F78">
            <w:pPr>
              <w:jc w:val="right"/>
              <w:rPr>
                <w:rFonts w:ascii="Calibri" w:hAnsi="Calibri" w:cs="Calibri"/>
              </w:rPr>
            </w:pPr>
            <w:r>
              <w:rPr>
                <w:rFonts w:ascii="Calibri" w:hAnsi="Calibri" w:cs="Calibri"/>
              </w:rPr>
              <w:t>219,91%</w:t>
            </w:r>
          </w:p>
        </w:tc>
        <w:tc>
          <w:tcPr>
            <w:tcW w:w="1983" w:type="dxa"/>
            <w:gridSpan w:val="2"/>
            <w:tcBorders>
              <w:top w:val="single" w:sz="4" w:space="0" w:color="auto"/>
              <w:left w:val="nil"/>
              <w:bottom w:val="single" w:sz="4" w:space="0" w:color="auto"/>
              <w:right w:val="nil"/>
            </w:tcBorders>
            <w:shd w:val="clear" w:color="auto" w:fill="auto"/>
            <w:vAlign w:val="center"/>
          </w:tcPr>
          <w:p w:rsidR="008B4F78" w:rsidRDefault="008B4F78" w:rsidP="008B4F78">
            <w:pPr>
              <w:jc w:val="center"/>
              <w:rPr>
                <w:rFonts w:ascii="Calibri" w:hAnsi="Calibri" w:cs="Calibri"/>
                <w:color w:val="000000"/>
              </w:rPr>
            </w:pPr>
            <w:r>
              <w:rPr>
                <w:rFonts w:ascii="Calibri" w:hAnsi="Calibri" w:cs="Calibri"/>
                <w:color w:val="000000"/>
              </w:rPr>
              <w:t>202,56%</w:t>
            </w:r>
          </w:p>
        </w:tc>
        <w:tc>
          <w:tcPr>
            <w:tcW w:w="144" w:type="dxa"/>
            <w:vMerge/>
            <w:tcBorders>
              <w:top w:val="single" w:sz="4" w:space="0" w:color="auto"/>
              <w:left w:val="single" w:sz="4" w:space="0" w:color="auto"/>
            </w:tcBorders>
          </w:tcPr>
          <w:p w:rsidR="008B4F78" w:rsidRDefault="008B4F78" w:rsidP="008B4F78">
            <w:pPr>
              <w:pStyle w:val="ConsPlusNormal"/>
            </w:pPr>
          </w:p>
        </w:tc>
      </w:tr>
      <w:tr w:rsidR="008B4F78" w:rsidTr="003C17E6">
        <w:trPr>
          <w:gridAfter w:val="7"/>
          <w:wAfter w:w="1767" w:type="dxa"/>
          <w:jc w:val="center"/>
        </w:trPr>
        <w:tc>
          <w:tcPr>
            <w:tcW w:w="4962" w:type="dxa"/>
            <w:gridSpan w:val="5"/>
            <w:tcBorders>
              <w:top w:val="single" w:sz="4" w:space="0" w:color="auto"/>
              <w:right w:val="single" w:sz="4" w:space="0" w:color="auto"/>
            </w:tcBorders>
          </w:tcPr>
          <w:p w:rsidR="008B4F78" w:rsidRDefault="008B4F78" w:rsidP="008B4F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Pr="00900135" w:rsidRDefault="008B4F78" w:rsidP="008B4F78">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B4F78" w:rsidRDefault="008B4F78" w:rsidP="008B4F78">
            <w:pPr>
              <w:jc w:val="right"/>
              <w:rPr>
                <w:rFonts w:ascii="Calibri" w:hAnsi="Calibri" w:cs="Calibri"/>
              </w:rPr>
            </w:pPr>
            <w:r>
              <w:rPr>
                <w:rFonts w:ascii="Calibri" w:hAnsi="Calibri" w:cs="Calibri"/>
              </w:rPr>
              <w:t>236,84%</w:t>
            </w:r>
          </w:p>
        </w:tc>
        <w:tc>
          <w:tcPr>
            <w:tcW w:w="1983" w:type="dxa"/>
            <w:gridSpan w:val="2"/>
            <w:tcBorders>
              <w:top w:val="single" w:sz="4" w:space="0" w:color="auto"/>
              <w:left w:val="nil"/>
              <w:bottom w:val="single" w:sz="4" w:space="0" w:color="auto"/>
              <w:right w:val="nil"/>
            </w:tcBorders>
            <w:shd w:val="clear" w:color="auto" w:fill="auto"/>
            <w:vAlign w:val="center"/>
          </w:tcPr>
          <w:p w:rsidR="008B4F78" w:rsidRDefault="008B4F78" w:rsidP="008B4F78">
            <w:pPr>
              <w:jc w:val="center"/>
              <w:rPr>
                <w:rFonts w:ascii="Calibri" w:hAnsi="Calibri" w:cs="Calibri"/>
                <w:color w:val="000000"/>
              </w:rPr>
            </w:pPr>
            <w:r>
              <w:rPr>
                <w:rFonts w:ascii="Calibri" w:hAnsi="Calibri" w:cs="Calibri"/>
                <w:color w:val="000000"/>
              </w:rPr>
              <w:t>196,94%</w:t>
            </w:r>
          </w:p>
        </w:tc>
        <w:tc>
          <w:tcPr>
            <w:tcW w:w="144" w:type="dxa"/>
            <w:vMerge/>
            <w:tcBorders>
              <w:top w:val="single" w:sz="4" w:space="0" w:color="auto"/>
              <w:left w:val="single" w:sz="4" w:space="0" w:color="auto"/>
            </w:tcBorders>
          </w:tcPr>
          <w:p w:rsidR="008B4F78" w:rsidRDefault="008B4F78" w:rsidP="008B4F78">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A2751D" w:rsidRPr="008B4EA7" w:rsidRDefault="00A2751D" w:rsidP="008B4EA7">
            <w:pPr>
              <w:pStyle w:val="ConsPlusNormal"/>
              <w:jc w:val="both"/>
              <w:rPr>
                <w:b/>
              </w:rPr>
            </w:pPr>
            <w:r>
              <w:t>1. Расчетная стоимость инвестиционного пая</w:t>
            </w:r>
            <w:r w:rsidR="00173178">
              <w:t xml:space="preserve">   </w:t>
            </w:r>
            <w:r>
              <w:t xml:space="preserve"> </w:t>
            </w:r>
            <w:r w:rsidR="003E5838" w:rsidRPr="003E5838">
              <w:rPr>
                <w:rFonts w:asciiTheme="minorHAnsi" w:hAnsiTheme="minorHAnsi"/>
                <w:b/>
                <w:sz w:val="22"/>
                <w:szCs w:val="22"/>
              </w:rPr>
              <w:t>2 805 945,05</w:t>
            </w:r>
            <w:r w:rsidR="003E5838">
              <w:rPr>
                <w:rFonts w:asciiTheme="minorHAnsi" w:hAnsiTheme="minorHAnsi"/>
                <w:b/>
                <w:sz w:val="22"/>
                <w:szCs w:val="22"/>
              </w:rPr>
              <w:t xml:space="preserve"> </w:t>
            </w:r>
            <w:r w:rsidR="001051E8">
              <w:rPr>
                <w:rFonts w:asciiTheme="minorHAnsi" w:hAnsiTheme="minorHAnsi"/>
                <w:b/>
                <w:sz w:val="22"/>
                <w:szCs w:val="22"/>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r w:rsidR="003E5838" w:rsidRPr="003E5838">
              <w:rPr>
                <w:b/>
              </w:rPr>
              <w:t>280 594 505,19</w:t>
            </w:r>
            <w:r w:rsidR="003E5838">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дней с даты окончания отчетного периода.</w:t>
            </w:r>
            <w:r>
              <w:t xml:space="preserve"> </w:t>
            </w:r>
            <w:r w:rsidRPr="002217B5">
              <w:t xml:space="preserve">Выплата дохода по </w:t>
            </w:r>
            <w:r w:rsidRPr="002217B5">
              <w:lastRenderedPageBreak/>
              <w:t>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lastRenderedPageBreak/>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bookmarkStart w:id="0" w:name="_GoBack"/>
      <w:bookmarkEnd w:id="0"/>
    </w:p>
    <w:p w:rsidR="001E30F2" w:rsidRDefault="001E30F2" w:rsidP="003567F6">
      <w:pPr>
        <w:pStyle w:val="ConsPlusNormal"/>
        <w:jc w:val="both"/>
      </w:pPr>
    </w:p>
    <w:p w:rsidR="001E30F2" w:rsidRDefault="001E30F2" w:rsidP="003567F6">
      <w:pPr>
        <w:pStyle w:val="ConsPlusNormal"/>
        <w:jc w:val="both"/>
      </w:pPr>
    </w:p>
    <w:p w:rsidR="001051E8" w:rsidRDefault="001051E8" w:rsidP="003567F6">
      <w:pPr>
        <w:pStyle w:val="ConsPlusNormal"/>
        <w:jc w:val="both"/>
      </w:pPr>
    </w:p>
    <w:p w:rsidR="00A06F1B" w:rsidRPr="00F06F39" w:rsidRDefault="00A06F1B" w:rsidP="00A06F1B">
      <w:pPr>
        <w:pStyle w:val="ConsPlusNormal"/>
        <w:jc w:val="both"/>
      </w:pPr>
    </w:p>
    <w:p w:rsidR="008B4F78" w:rsidRDefault="008B4F78" w:rsidP="008B4F78">
      <w:pPr>
        <w:pStyle w:val="ConsPlusNormal"/>
        <w:jc w:val="both"/>
      </w:pPr>
      <w:r>
        <w:t>*-</w:t>
      </w:r>
      <w:r w:rsidRPr="005C7547">
        <w:t>На момент публикации отсутс</w:t>
      </w:r>
      <w:r>
        <w:t>твуют данные инфляции за февраль 2026 г. раскрытые Росстатом (</w:t>
      </w:r>
      <w:r w:rsidRPr="005C7547">
        <w:t>https://rosstat.gov.ru/), для расче</w:t>
      </w:r>
      <w:r>
        <w:t xml:space="preserve">та использованы данные за январь 2026 </w:t>
      </w:r>
      <w:r w:rsidRPr="005C7547">
        <w:t>г</w:t>
      </w:r>
      <w:r>
        <w:t>.</w:t>
      </w: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356" w:rsidRDefault="00170356">
      <w:pPr>
        <w:spacing w:after="0" w:line="240" w:lineRule="auto"/>
      </w:pPr>
      <w:r>
        <w:separator/>
      </w:r>
    </w:p>
  </w:endnote>
  <w:endnote w:type="continuationSeparator" w:id="0">
    <w:p w:rsidR="00170356" w:rsidRDefault="0017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356" w:rsidRDefault="00170356">
      <w:pPr>
        <w:spacing w:after="0" w:line="240" w:lineRule="auto"/>
      </w:pPr>
      <w:r>
        <w:separator/>
      </w:r>
    </w:p>
  </w:footnote>
  <w:footnote w:type="continuationSeparator" w:id="0">
    <w:p w:rsidR="00170356" w:rsidRDefault="00170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0356"/>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1820"/>
    <w:rsid w:val="002D2E74"/>
    <w:rsid w:val="002E3C7C"/>
    <w:rsid w:val="002F04A1"/>
    <w:rsid w:val="002F3318"/>
    <w:rsid w:val="002F4B3A"/>
    <w:rsid w:val="002F552F"/>
    <w:rsid w:val="002F581F"/>
    <w:rsid w:val="002F726A"/>
    <w:rsid w:val="003069B1"/>
    <w:rsid w:val="00327A07"/>
    <w:rsid w:val="00340A2A"/>
    <w:rsid w:val="003567F6"/>
    <w:rsid w:val="0037499D"/>
    <w:rsid w:val="0037580E"/>
    <w:rsid w:val="00397D21"/>
    <w:rsid w:val="003B39C3"/>
    <w:rsid w:val="003D7ED1"/>
    <w:rsid w:val="003E5838"/>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1CBB"/>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4F78"/>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5E1F"/>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E6BFF"/>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AF6B"/>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84;&#1072;&#1088;&#1090;\&#1044;&#1086;&#1093;&#1086;&#1076;&#1085;&#1086;&#1089;&#1090;&#1100;%2027.02.2026%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2025</c:v>
                </c:pt>
                <c:pt idx="1">
                  <c:v>2024</c:v>
                </c:pt>
                <c:pt idx="2">
                  <c:v>2023</c:v>
                </c:pt>
                <c:pt idx="3">
                  <c:v>2022</c:v>
                </c:pt>
                <c:pt idx="4">
                  <c:v>2021</c:v>
                </c:pt>
              </c:strCache>
            </c:strRef>
          </c:cat>
          <c:val>
            <c:numRef>
              <c:f>'[1]Доходность по годам'!$E$4:$E$8</c:f>
              <c:numCache>
                <c:formatCode>General</c:formatCode>
                <c:ptCount val="5"/>
                <c:pt idx="0">
                  <c:v>1.8639320655148173</c:v>
                </c:pt>
                <c:pt idx="1">
                  <c:v>0.14205831841830019</c:v>
                </c:pt>
                <c:pt idx="2">
                  <c:v>0.26106659750347688</c:v>
                </c:pt>
                <c:pt idx="3">
                  <c:v>0.17843365797094635</c:v>
                </c:pt>
                <c:pt idx="4">
                  <c:v>0.18418803082753535</c:v>
                </c:pt>
              </c:numCache>
            </c:numRef>
          </c:val>
          <c:extLst>
            <c:ext xmlns:c16="http://schemas.microsoft.com/office/drawing/2014/chart" uri="{C3380CC4-5D6E-409C-BE32-E72D297353CC}">
              <c16:uniqueId val="{00000000-7384-476A-A071-81C0AF46945B}"/>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5A77-4B1C-4FBA-97FE-A5EADA46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974</Words>
  <Characters>5555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39</cp:revision>
  <cp:lastPrinted>2022-10-11T08:50:00Z</cp:lastPrinted>
  <dcterms:created xsi:type="dcterms:W3CDTF">2025-06-26T12:04:00Z</dcterms:created>
  <dcterms:modified xsi:type="dcterms:W3CDTF">2026-06-23T11:43:00Z</dcterms:modified>
</cp:coreProperties>
</file>