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C10B02">
              <w:rPr>
                <w:b/>
                <w:color w:val="000000" w:themeColor="text1"/>
              </w:rPr>
              <w:t>28.02</w:t>
            </w:r>
            <w:r w:rsidR="00C06D00">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572535">
              <w:t>37</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37580E" w:rsidP="0017130E">
            <w:pPr>
              <w:pStyle w:val="ConsPlusNormal"/>
              <w:jc w:val="center"/>
            </w:pPr>
            <w:r>
              <w:t>81,02</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37580E" w:rsidP="00FE56D7">
            <w:pPr>
              <w:pStyle w:val="ConsPlusNormal"/>
              <w:jc w:val="center"/>
            </w:pPr>
            <w:r>
              <w:t>7,53</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37580E" w:rsidP="00A2751D">
            <w:pPr>
              <w:pStyle w:val="ConsPlusNormal"/>
              <w:jc w:val="center"/>
            </w:pPr>
            <w:r>
              <w:t>5,78</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7580E" w:rsidRDefault="008855A5" w:rsidP="0037580E">
            <w:pPr>
              <w:pStyle w:val="ConsPlusNormal"/>
            </w:pPr>
            <w:r>
              <w:t xml:space="preserve"> </w:t>
            </w:r>
            <w:r w:rsidR="0037580E">
              <w:t>ООО «Смарт Систем Сервис»</w:t>
            </w:r>
          </w:p>
          <w:p w:rsidR="00A2751D" w:rsidRDefault="0037580E" w:rsidP="0037580E">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A2751D" w:rsidRDefault="0037580E" w:rsidP="00A2751D">
            <w:pPr>
              <w:pStyle w:val="ConsPlusNormal"/>
              <w:jc w:val="center"/>
            </w:pPr>
            <w:r>
              <w:t>0,37</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8855A5" w:rsidRDefault="008855A5" w:rsidP="008855A5">
            <w:pPr>
              <w:pStyle w:val="ConsPlusNormal"/>
            </w:pPr>
            <w:r>
              <w:t>ООО «Кофе МАДЕО»</w:t>
            </w:r>
          </w:p>
          <w:p w:rsidR="001E57B2" w:rsidRDefault="008855A5" w:rsidP="008855A5">
            <w:pPr>
              <w:pStyle w:val="ConsPlusNormal"/>
            </w:pPr>
            <w:r>
              <w:t>(ИНН5027087544)</w:t>
            </w:r>
          </w:p>
        </w:tc>
        <w:tc>
          <w:tcPr>
            <w:tcW w:w="1134" w:type="dxa"/>
            <w:tcBorders>
              <w:top w:val="single" w:sz="4" w:space="0" w:color="auto"/>
              <w:left w:val="single" w:sz="4" w:space="0" w:color="auto"/>
              <w:bottom w:val="single" w:sz="4" w:space="0" w:color="auto"/>
              <w:right w:val="single" w:sz="4" w:space="0" w:color="auto"/>
            </w:tcBorders>
          </w:tcPr>
          <w:p w:rsidR="00A2751D" w:rsidRDefault="0037580E" w:rsidP="00A2751D">
            <w:pPr>
              <w:pStyle w:val="ConsPlusNormal"/>
              <w:jc w:val="center"/>
            </w:pPr>
            <w:r>
              <w:t>0,26</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B94B9F">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B94B9F" w:rsidP="00A2751D">
            <w:pPr>
              <w:pStyle w:val="ConsPlusNormal"/>
              <w:jc w:val="center"/>
              <w:rPr>
                <w:lang w:val="en-US"/>
              </w:rPr>
            </w:pPr>
            <w:r>
              <w:rPr>
                <w:noProof/>
              </w:rPr>
              <w:drawing>
                <wp:inline distT="0" distB="0" distL="0" distR="0" wp14:anchorId="10C25234" wp14:editId="09D85735">
                  <wp:extent cx="2653665" cy="284924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B94B9F"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B94B9F" w:rsidRDefault="00B94B9F" w:rsidP="00B94B9F">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94B9F" w:rsidRPr="00900135" w:rsidRDefault="00B94B9F" w:rsidP="00B94B9F">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B94B9F" w:rsidRDefault="00B94B9F" w:rsidP="00B94B9F">
            <w:pPr>
              <w:jc w:val="center"/>
              <w:rPr>
                <w:rFonts w:ascii="Calibri" w:eastAsia="Times New Roman" w:hAnsi="Calibri" w:cs="Calibri"/>
                <w:color w:val="000000"/>
              </w:rPr>
            </w:pPr>
            <w:r>
              <w:rPr>
                <w:rFonts w:ascii="Calibri" w:hAnsi="Calibri" w:cs="Calibri"/>
                <w:color w:val="000000"/>
              </w:rPr>
              <w:t>5,11%</w:t>
            </w:r>
          </w:p>
        </w:tc>
        <w:tc>
          <w:tcPr>
            <w:tcW w:w="1928" w:type="dxa"/>
            <w:gridSpan w:val="2"/>
            <w:tcBorders>
              <w:top w:val="single" w:sz="4" w:space="0" w:color="auto"/>
              <w:left w:val="nil"/>
              <w:bottom w:val="single" w:sz="4" w:space="0" w:color="auto"/>
              <w:right w:val="nil"/>
            </w:tcBorders>
            <w:shd w:val="clear" w:color="auto" w:fill="auto"/>
            <w:vAlign w:val="center"/>
          </w:tcPr>
          <w:p w:rsidR="00B94B9F" w:rsidRDefault="00B94B9F" w:rsidP="00B94B9F">
            <w:pPr>
              <w:jc w:val="center"/>
              <w:rPr>
                <w:rFonts w:ascii="Calibri" w:eastAsia="Times New Roman" w:hAnsi="Calibri" w:cs="Calibri"/>
                <w:color w:val="000000"/>
              </w:rPr>
            </w:pPr>
            <w:r>
              <w:rPr>
                <w:rFonts w:ascii="Calibri" w:hAnsi="Calibri" w:cs="Calibri"/>
                <w:color w:val="000000"/>
              </w:rPr>
              <w:t>3,88%</w:t>
            </w:r>
          </w:p>
        </w:tc>
        <w:tc>
          <w:tcPr>
            <w:tcW w:w="341" w:type="dxa"/>
            <w:vMerge/>
            <w:tcBorders>
              <w:top w:val="single" w:sz="4" w:space="0" w:color="auto"/>
              <w:left w:val="single" w:sz="4" w:space="0" w:color="auto"/>
            </w:tcBorders>
          </w:tcPr>
          <w:p w:rsidR="00B94B9F" w:rsidRPr="0020563C" w:rsidRDefault="00B94B9F" w:rsidP="00B94B9F">
            <w:pPr>
              <w:pStyle w:val="ConsPlusNormal"/>
              <w:jc w:val="center"/>
            </w:pPr>
          </w:p>
        </w:tc>
      </w:tr>
      <w:tr w:rsidR="00B94B9F"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B94B9F" w:rsidRDefault="00B94B9F" w:rsidP="00B94B9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94B9F" w:rsidRPr="00900135" w:rsidRDefault="00B94B9F" w:rsidP="00B94B9F">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B94B9F" w:rsidRDefault="00B94B9F" w:rsidP="00B94B9F">
            <w:pPr>
              <w:jc w:val="center"/>
              <w:rPr>
                <w:rFonts w:ascii="Calibri" w:hAnsi="Calibri" w:cs="Calibri"/>
                <w:color w:val="000000"/>
              </w:rPr>
            </w:pPr>
            <w:r>
              <w:rPr>
                <w:rFonts w:ascii="Calibri" w:hAnsi="Calibri" w:cs="Calibri"/>
                <w:color w:val="000000"/>
              </w:rPr>
              <w:t>8,96%</w:t>
            </w:r>
          </w:p>
        </w:tc>
        <w:tc>
          <w:tcPr>
            <w:tcW w:w="1928" w:type="dxa"/>
            <w:gridSpan w:val="2"/>
            <w:tcBorders>
              <w:top w:val="single" w:sz="4" w:space="0" w:color="auto"/>
              <w:left w:val="nil"/>
              <w:bottom w:val="single" w:sz="4" w:space="0" w:color="auto"/>
              <w:right w:val="nil"/>
            </w:tcBorders>
            <w:shd w:val="clear" w:color="auto" w:fill="auto"/>
            <w:vAlign w:val="center"/>
          </w:tcPr>
          <w:p w:rsidR="00B94B9F" w:rsidRDefault="00B94B9F" w:rsidP="00B94B9F">
            <w:pPr>
              <w:jc w:val="center"/>
              <w:rPr>
                <w:rFonts w:ascii="Calibri" w:hAnsi="Calibri" w:cs="Calibri"/>
                <w:color w:val="000000"/>
              </w:rPr>
            </w:pPr>
            <w:bookmarkStart w:id="0" w:name="_GoBack"/>
            <w:bookmarkEnd w:id="0"/>
            <w:r>
              <w:rPr>
                <w:rFonts w:ascii="Calibri" w:hAnsi="Calibri" w:cs="Calibri"/>
                <w:color w:val="000000"/>
              </w:rPr>
              <w:t>5,16%</w:t>
            </w:r>
          </w:p>
        </w:tc>
        <w:tc>
          <w:tcPr>
            <w:tcW w:w="341" w:type="dxa"/>
            <w:vMerge/>
            <w:tcBorders>
              <w:top w:val="single" w:sz="4" w:space="0" w:color="auto"/>
              <w:left w:val="single" w:sz="4" w:space="0" w:color="auto"/>
            </w:tcBorders>
          </w:tcPr>
          <w:p w:rsidR="00B94B9F" w:rsidRDefault="00B94B9F" w:rsidP="00B94B9F">
            <w:pPr>
              <w:pStyle w:val="ConsPlusNormal"/>
            </w:pPr>
          </w:p>
        </w:tc>
      </w:tr>
      <w:tr w:rsidR="00B94B9F"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B94B9F" w:rsidRDefault="00B94B9F" w:rsidP="00B94B9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94B9F" w:rsidRPr="00900135" w:rsidRDefault="00B94B9F" w:rsidP="00B94B9F">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B94B9F" w:rsidRDefault="00B94B9F" w:rsidP="00B94B9F">
            <w:pPr>
              <w:jc w:val="center"/>
              <w:rPr>
                <w:rFonts w:ascii="Calibri" w:hAnsi="Calibri" w:cs="Calibri"/>
                <w:color w:val="000000"/>
              </w:rPr>
            </w:pPr>
            <w:r>
              <w:rPr>
                <w:rFonts w:ascii="Calibri" w:hAnsi="Calibri" w:cs="Calibri"/>
                <w:color w:val="000000"/>
              </w:rPr>
              <w:t>8,67%</w:t>
            </w:r>
          </w:p>
        </w:tc>
        <w:tc>
          <w:tcPr>
            <w:tcW w:w="1928" w:type="dxa"/>
            <w:gridSpan w:val="2"/>
            <w:tcBorders>
              <w:top w:val="single" w:sz="4" w:space="0" w:color="auto"/>
              <w:left w:val="nil"/>
              <w:bottom w:val="single" w:sz="4" w:space="0" w:color="auto"/>
              <w:right w:val="nil"/>
            </w:tcBorders>
            <w:shd w:val="clear" w:color="auto" w:fill="auto"/>
            <w:vAlign w:val="center"/>
          </w:tcPr>
          <w:p w:rsidR="00B94B9F" w:rsidRDefault="00B94B9F" w:rsidP="00B94B9F">
            <w:pPr>
              <w:jc w:val="center"/>
              <w:rPr>
                <w:rFonts w:ascii="Calibri" w:hAnsi="Calibri" w:cs="Calibri"/>
                <w:color w:val="000000"/>
              </w:rPr>
            </w:pPr>
            <w:r>
              <w:rPr>
                <w:rFonts w:ascii="Calibri" w:hAnsi="Calibri" w:cs="Calibri"/>
                <w:color w:val="000000"/>
              </w:rPr>
              <w:t>2,12%</w:t>
            </w:r>
          </w:p>
        </w:tc>
        <w:tc>
          <w:tcPr>
            <w:tcW w:w="341" w:type="dxa"/>
            <w:vMerge/>
            <w:tcBorders>
              <w:top w:val="single" w:sz="4" w:space="0" w:color="auto"/>
              <w:left w:val="single" w:sz="4" w:space="0" w:color="auto"/>
            </w:tcBorders>
          </w:tcPr>
          <w:p w:rsidR="00B94B9F" w:rsidRDefault="00B94B9F" w:rsidP="00B94B9F">
            <w:pPr>
              <w:pStyle w:val="ConsPlusNormal"/>
            </w:pPr>
          </w:p>
        </w:tc>
      </w:tr>
      <w:tr w:rsidR="00B94B9F"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B94B9F" w:rsidRDefault="00B94B9F" w:rsidP="00B94B9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94B9F" w:rsidRPr="00900135" w:rsidRDefault="00B94B9F" w:rsidP="00B94B9F">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B94B9F" w:rsidRDefault="00B94B9F" w:rsidP="00B94B9F">
            <w:pPr>
              <w:jc w:val="center"/>
              <w:rPr>
                <w:rFonts w:ascii="Calibri" w:hAnsi="Calibri" w:cs="Calibri"/>
                <w:color w:val="000000"/>
              </w:rPr>
            </w:pPr>
            <w:r>
              <w:rPr>
                <w:rFonts w:ascii="Calibri" w:hAnsi="Calibri" w:cs="Calibri"/>
                <w:color w:val="000000"/>
              </w:rPr>
              <w:t>16,15%</w:t>
            </w:r>
          </w:p>
        </w:tc>
        <w:tc>
          <w:tcPr>
            <w:tcW w:w="1928" w:type="dxa"/>
            <w:gridSpan w:val="2"/>
            <w:tcBorders>
              <w:top w:val="single" w:sz="4" w:space="0" w:color="auto"/>
              <w:left w:val="nil"/>
              <w:bottom w:val="single" w:sz="4" w:space="0" w:color="auto"/>
              <w:right w:val="nil"/>
            </w:tcBorders>
            <w:shd w:val="clear" w:color="auto" w:fill="auto"/>
            <w:vAlign w:val="center"/>
          </w:tcPr>
          <w:p w:rsidR="00B94B9F" w:rsidRDefault="00B94B9F" w:rsidP="00B94B9F">
            <w:pPr>
              <w:jc w:val="center"/>
              <w:rPr>
                <w:rFonts w:ascii="Calibri" w:hAnsi="Calibri" w:cs="Calibri"/>
                <w:color w:val="000000"/>
              </w:rPr>
            </w:pPr>
            <w:r>
              <w:rPr>
                <w:rFonts w:ascii="Calibri" w:hAnsi="Calibri" w:cs="Calibri"/>
                <w:color w:val="000000"/>
              </w:rPr>
              <w:t>5,75%</w:t>
            </w:r>
          </w:p>
        </w:tc>
        <w:tc>
          <w:tcPr>
            <w:tcW w:w="341" w:type="dxa"/>
            <w:vMerge/>
            <w:tcBorders>
              <w:top w:val="single" w:sz="4" w:space="0" w:color="auto"/>
              <w:left w:val="single" w:sz="4" w:space="0" w:color="auto"/>
            </w:tcBorders>
          </w:tcPr>
          <w:p w:rsidR="00B94B9F" w:rsidRDefault="00B94B9F" w:rsidP="00B94B9F">
            <w:pPr>
              <w:pStyle w:val="ConsPlusNormal"/>
            </w:pPr>
          </w:p>
        </w:tc>
      </w:tr>
      <w:tr w:rsidR="00B94B9F"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B94B9F" w:rsidRDefault="00B94B9F" w:rsidP="00B94B9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94B9F" w:rsidRPr="00900135" w:rsidRDefault="00B94B9F" w:rsidP="00B94B9F">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B94B9F" w:rsidRDefault="00B94B9F" w:rsidP="00B94B9F">
            <w:pPr>
              <w:jc w:val="center"/>
              <w:rPr>
                <w:rFonts w:ascii="Calibri" w:hAnsi="Calibri" w:cs="Calibri"/>
                <w:color w:val="000000"/>
              </w:rPr>
            </w:pPr>
            <w:r>
              <w:rPr>
                <w:rFonts w:ascii="Calibri" w:hAnsi="Calibri" w:cs="Calibri"/>
                <w:color w:val="000000"/>
              </w:rPr>
              <w:t>54,44%</w:t>
            </w:r>
          </w:p>
        </w:tc>
        <w:tc>
          <w:tcPr>
            <w:tcW w:w="1928" w:type="dxa"/>
            <w:gridSpan w:val="2"/>
            <w:tcBorders>
              <w:top w:val="single" w:sz="4" w:space="0" w:color="auto"/>
              <w:left w:val="nil"/>
              <w:bottom w:val="single" w:sz="4" w:space="0" w:color="auto"/>
              <w:right w:val="nil"/>
            </w:tcBorders>
            <w:shd w:val="clear" w:color="auto" w:fill="auto"/>
            <w:vAlign w:val="center"/>
          </w:tcPr>
          <w:p w:rsidR="00B94B9F" w:rsidRDefault="00B94B9F" w:rsidP="00B94B9F">
            <w:pPr>
              <w:jc w:val="center"/>
              <w:rPr>
                <w:rFonts w:ascii="Calibri" w:hAnsi="Calibri" w:cs="Calibri"/>
                <w:color w:val="000000"/>
              </w:rPr>
            </w:pPr>
            <w:r>
              <w:rPr>
                <w:rFonts w:ascii="Calibri" w:hAnsi="Calibri" w:cs="Calibri"/>
                <w:color w:val="000000"/>
              </w:rPr>
              <w:t>22,76%</w:t>
            </w:r>
          </w:p>
        </w:tc>
        <w:tc>
          <w:tcPr>
            <w:tcW w:w="341" w:type="dxa"/>
            <w:vMerge/>
            <w:tcBorders>
              <w:top w:val="single" w:sz="4" w:space="0" w:color="auto"/>
              <w:left w:val="single" w:sz="4" w:space="0" w:color="auto"/>
            </w:tcBorders>
          </w:tcPr>
          <w:p w:rsidR="00B94B9F" w:rsidRDefault="00B94B9F" w:rsidP="00B94B9F">
            <w:pPr>
              <w:pStyle w:val="ConsPlusNormal"/>
            </w:pPr>
          </w:p>
        </w:tc>
      </w:tr>
      <w:tr w:rsidR="00B94B9F" w:rsidTr="0014147B">
        <w:trPr>
          <w:gridAfter w:val="4"/>
          <w:wAfter w:w="1364" w:type="dxa"/>
          <w:jc w:val="center"/>
        </w:trPr>
        <w:tc>
          <w:tcPr>
            <w:tcW w:w="4395" w:type="dxa"/>
            <w:gridSpan w:val="4"/>
            <w:tcBorders>
              <w:top w:val="single" w:sz="4" w:space="0" w:color="auto"/>
              <w:right w:val="single" w:sz="4" w:space="0" w:color="auto"/>
            </w:tcBorders>
          </w:tcPr>
          <w:p w:rsidR="00B94B9F" w:rsidRDefault="00B94B9F" w:rsidP="00B94B9F">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94B9F" w:rsidRPr="00900135" w:rsidRDefault="00B94B9F" w:rsidP="00B94B9F">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B94B9F" w:rsidRDefault="00B94B9F" w:rsidP="00B94B9F">
            <w:pPr>
              <w:jc w:val="center"/>
              <w:rPr>
                <w:rFonts w:ascii="Calibri" w:hAnsi="Calibri" w:cs="Calibri"/>
                <w:color w:val="000000"/>
              </w:rPr>
            </w:pPr>
            <w:r>
              <w:rPr>
                <w:rFonts w:ascii="Calibri" w:hAnsi="Calibri" w:cs="Calibri"/>
                <w:color w:val="000000"/>
              </w:rPr>
              <w:t>92,34%</w:t>
            </w:r>
          </w:p>
        </w:tc>
        <w:tc>
          <w:tcPr>
            <w:tcW w:w="1928" w:type="dxa"/>
            <w:gridSpan w:val="2"/>
            <w:tcBorders>
              <w:top w:val="single" w:sz="4" w:space="0" w:color="auto"/>
              <w:left w:val="nil"/>
              <w:bottom w:val="single" w:sz="4" w:space="0" w:color="auto"/>
              <w:right w:val="nil"/>
            </w:tcBorders>
            <w:shd w:val="clear" w:color="auto" w:fill="auto"/>
            <w:vAlign w:val="center"/>
          </w:tcPr>
          <w:p w:rsidR="00B94B9F" w:rsidRDefault="00B94B9F" w:rsidP="00B94B9F">
            <w:pPr>
              <w:jc w:val="center"/>
              <w:rPr>
                <w:rFonts w:ascii="Calibri" w:hAnsi="Calibri" w:cs="Calibri"/>
                <w:color w:val="000000"/>
              </w:rPr>
            </w:pPr>
            <w:r>
              <w:rPr>
                <w:rFonts w:ascii="Calibri" w:hAnsi="Calibri" w:cs="Calibri"/>
                <w:color w:val="000000"/>
              </w:rPr>
              <w:t>40,65%</w:t>
            </w:r>
          </w:p>
        </w:tc>
        <w:tc>
          <w:tcPr>
            <w:tcW w:w="341" w:type="dxa"/>
            <w:vMerge/>
            <w:tcBorders>
              <w:top w:val="single" w:sz="4" w:space="0" w:color="auto"/>
              <w:left w:val="single" w:sz="4" w:space="0" w:color="auto"/>
            </w:tcBorders>
          </w:tcPr>
          <w:p w:rsidR="00B94B9F" w:rsidRDefault="00B94B9F" w:rsidP="00B94B9F">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C10B02">
              <w:rPr>
                <w:b/>
              </w:rPr>
              <w:t>1 298 601,39</w:t>
            </w:r>
            <w:r>
              <w:rPr>
                <w:b/>
              </w:rPr>
              <w:t xml:space="preserve"> 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C10B02">
              <w:rPr>
                <w:b/>
              </w:rPr>
              <w:t>129 860 138,56</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8D622D">
        <w:t xml:space="preserve">вуют данные инфляции за </w:t>
      </w:r>
      <w:r w:rsidR="00C10B02">
        <w:t>февраль</w:t>
      </w:r>
      <w:r w:rsidR="001E57B2">
        <w:t xml:space="preserve"> </w:t>
      </w:r>
      <w:r w:rsidR="008D622D">
        <w:t>2025</w:t>
      </w:r>
      <w:r w:rsidR="00CB0994">
        <w:t xml:space="preserve"> г. раскрытые Росстатом (</w:t>
      </w:r>
      <w:r w:rsidRPr="005C7547">
        <w:t>https://rosstat.gov.ru/), для расче</w:t>
      </w:r>
      <w:r>
        <w:t>т</w:t>
      </w:r>
      <w:r w:rsidR="00C10B02">
        <w:t>а использованы данные за январ</w:t>
      </w:r>
      <w:r w:rsidR="008D622D">
        <w:t>ь</w:t>
      </w:r>
      <w:r w:rsidR="00C10B02">
        <w:t xml:space="preserve"> 2025</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A90"/>
    <w:rsid w:val="0020563C"/>
    <w:rsid w:val="00212BD4"/>
    <w:rsid w:val="00215ECE"/>
    <w:rsid w:val="00220B4F"/>
    <w:rsid w:val="002279B7"/>
    <w:rsid w:val="002548E9"/>
    <w:rsid w:val="00264BB8"/>
    <w:rsid w:val="00266E4D"/>
    <w:rsid w:val="002737B6"/>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40A2A"/>
    <w:rsid w:val="003567F6"/>
    <w:rsid w:val="0037499D"/>
    <w:rsid w:val="0037580E"/>
    <w:rsid w:val="003D7ED1"/>
    <w:rsid w:val="003F3864"/>
    <w:rsid w:val="003F4A61"/>
    <w:rsid w:val="003F6A76"/>
    <w:rsid w:val="00403126"/>
    <w:rsid w:val="00404DED"/>
    <w:rsid w:val="00421516"/>
    <w:rsid w:val="00455942"/>
    <w:rsid w:val="0046422B"/>
    <w:rsid w:val="00465834"/>
    <w:rsid w:val="00473367"/>
    <w:rsid w:val="004A15AB"/>
    <w:rsid w:val="004A2B58"/>
    <w:rsid w:val="004B0DA6"/>
    <w:rsid w:val="004D2E03"/>
    <w:rsid w:val="004D2E7E"/>
    <w:rsid w:val="004D742E"/>
    <w:rsid w:val="004E3EE7"/>
    <w:rsid w:val="004E6ACB"/>
    <w:rsid w:val="004E6B42"/>
    <w:rsid w:val="004F1581"/>
    <w:rsid w:val="00527B62"/>
    <w:rsid w:val="00531663"/>
    <w:rsid w:val="00556974"/>
    <w:rsid w:val="005600F2"/>
    <w:rsid w:val="00572535"/>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03ADB"/>
    <w:rsid w:val="00722EAE"/>
    <w:rsid w:val="00724D0C"/>
    <w:rsid w:val="007423AA"/>
    <w:rsid w:val="00745622"/>
    <w:rsid w:val="00746D0D"/>
    <w:rsid w:val="00747F96"/>
    <w:rsid w:val="00760764"/>
    <w:rsid w:val="0076543E"/>
    <w:rsid w:val="00767183"/>
    <w:rsid w:val="0077111E"/>
    <w:rsid w:val="0078355F"/>
    <w:rsid w:val="007A21A6"/>
    <w:rsid w:val="007B0BC1"/>
    <w:rsid w:val="007B3342"/>
    <w:rsid w:val="007B3AFB"/>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6198"/>
    <w:rsid w:val="009E392A"/>
    <w:rsid w:val="009F1983"/>
    <w:rsid w:val="00A03647"/>
    <w:rsid w:val="00A12670"/>
    <w:rsid w:val="00A13034"/>
    <w:rsid w:val="00A2751D"/>
    <w:rsid w:val="00A315EE"/>
    <w:rsid w:val="00A31ECC"/>
    <w:rsid w:val="00A37FDE"/>
    <w:rsid w:val="00A451DF"/>
    <w:rsid w:val="00A62DC6"/>
    <w:rsid w:val="00A85E3A"/>
    <w:rsid w:val="00AA317E"/>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94B9F"/>
    <w:rsid w:val="00BC531D"/>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B0994"/>
    <w:rsid w:val="00CB1C52"/>
    <w:rsid w:val="00CC3978"/>
    <w:rsid w:val="00CC596C"/>
    <w:rsid w:val="00CD10A0"/>
    <w:rsid w:val="00CE1F59"/>
    <w:rsid w:val="00CE37D7"/>
    <w:rsid w:val="00D00022"/>
    <w:rsid w:val="00D12FB4"/>
    <w:rsid w:val="00D2392E"/>
    <w:rsid w:val="00D444F6"/>
    <w:rsid w:val="00D524E8"/>
    <w:rsid w:val="00D538FC"/>
    <w:rsid w:val="00D555F6"/>
    <w:rsid w:val="00D62BFE"/>
    <w:rsid w:val="00D66EBC"/>
    <w:rsid w:val="00D768FF"/>
    <w:rsid w:val="00D77C72"/>
    <w:rsid w:val="00D8625D"/>
    <w:rsid w:val="00D916A5"/>
    <w:rsid w:val="00DB5EE0"/>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92;&#1077;&#1074;&#1088;&#1072;&#1083;&#1100;\&#1044;&#1086;&#1093;&#1086;&#1076;&#1085;&#1086;&#1089;&#1090;&#1100;%2028.02.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87E9-4A2A-AF92-16C8100EABD3}"/>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DAE2-6421-47DF-A3D5-6B1B36D4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44</cp:revision>
  <cp:lastPrinted>2022-10-11T08:50:00Z</cp:lastPrinted>
  <dcterms:created xsi:type="dcterms:W3CDTF">2024-08-08T11:49:00Z</dcterms:created>
  <dcterms:modified xsi:type="dcterms:W3CDTF">2026-06-16T08:43:00Z</dcterms:modified>
</cp:coreProperties>
</file>