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6D3347">
              <w:rPr>
                <w:b/>
                <w:color w:val="000000" w:themeColor="text1"/>
              </w:rPr>
              <w:t>30.04</w:t>
            </w:r>
            <w:r w:rsidR="00C06D00">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6D3347">
              <w:t>47</w:t>
            </w:r>
            <w:r w:rsidR="00264BB8">
              <w:t xml:space="preserve"> объект</w:t>
            </w:r>
            <w:r w:rsidR="004C4AD6">
              <w:t>а</w:t>
            </w:r>
            <w:r w:rsidR="00264BB8">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140E33" w:rsidP="0017130E">
            <w:pPr>
              <w:pStyle w:val="ConsPlusNormal"/>
              <w:jc w:val="center"/>
            </w:pPr>
            <w:r>
              <w:t>92,36</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140E33" w:rsidP="00FE56D7">
            <w:pPr>
              <w:pStyle w:val="ConsPlusNormal"/>
              <w:jc w:val="center"/>
            </w:pPr>
            <w:r>
              <w:t>3,30</w:t>
            </w:r>
            <w:r w:rsidR="00FE56D7">
              <w:t>%</w:t>
            </w:r>
          </w:p>
        </w:tc>
        <w:tc>
          <w:tcPr>
            <w:tcW w:w="341" w:type="dxa"/>
            <w:vMerge/>
            <w:tcBorders>
              <w:bottom w:val="single" w:sz="4" w:space="0" w:color="auto"/>
            </w:tcBorders>
          </w:tcPr>
          <w:p w:rsidR="00FE56D7" w:rsidRDefault="00FE56D7" w:rsidP="00FE56D7">
            <w:pPr>
              <w:pStyle w:val="ConsPlusNormal"/>
            </w:pPr>
          </w:p>
        </w:tc>
      </w:tr>
      <w:tr w:rsidR="00A2751D" w:rsidTr="00A2751D">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A2751D" w:rsidRDefault="00140E33" w:rsidP="00A2751D">
            <w:pPr>
              <w:pStyle w:val="ConsPlusNormal"/>
              <w:jc w:val="center"/>
            </w:pPr>
            <w:r>
              <w:t>2,74</w:t>
            </w:r>
            <w:r w:rsidR="00A2751D">
              <w:t>%</w:t>
            </w:r>
          </w:p>
        </w:tc>
        <w:tc>
          <w:tcPr>
            <w:tcW w:w="341" w:type="dxa"/>
            <w:vMerge/>
            <w:tcBorders>
              <w:bottom w:val="single" w:sz="4" w:space="0" w:color="auto"/>
            </w:tcBorders>
          </w:tcPr>
          <w:p w:rsidR="00A2751D" w:rsidRDefault="00A2751D" w:rsidP="00A2751D">
            <w:pPr>
              <w:pStyle w:val="ConsPlusNormal"/>
            </w:pPr>
          </w:p>
        </w:tc>
      </w:tr>
      <w:tr w:rsidR="00A2751D" w:rsidTr="0000443B">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140E33" w:rsidRDefault="00140E33" w:rsidP="00140E33">
            <w:pPr>
              <w:pStyle w:val="ConsPlusNormal"/>
            </w:pPr>
            <w:r>
              <w:t>ООО «Газпром межрегионгаз Москва»</w:t>
            </w:r>
          </w:p>
          <w:p w:rsidR="00A2751D" w:rsidRDefault="00140E33" w:rsidP="00140E33">
            <w:pPr>
              <w:pStyle w:val="ConsPlusNormal"/>
            </w:pPr>
            <w:r>
              <w:t>(ИНН</w:t>
            </w:r>
            <w:r w:rsidRPr="006D3347">
              <w:t>:5009033419</w:t>
            </w:r>
            <w:r>
              <w:t>)</w:t>
            </w:r>
          </w:p>
        </w:tc>
        <w:tc>
          <w:tcPr>
            <w:tcW w:w="1134" w:type="dxa"/>
            <w:tcBorders>
              <w:top w:val="single" w:sz="4" w:space="0" w:color="auto"/>
              <w:left w:val="single" w:sz="4" w:space="0" w:color="auto"/>
              <w:bottom w:val="single" w:sz="4" w:space="0" w:color="auto"/>
              <w:right w:val="single" w:sz="4" w:space="0" w:color="auto"/>
            </w:tcBorders>
          </w:tcPr>
          <w:p w:rsidR="00A2751D" w:rsidRDefault="00140E33" w:rsidP="00A2751D">
            <w:pPr>
              <w:pStyle w:val="ConsPlusNormal"/>
              <w:jc w:val="center"/>
            </w:pPr>
            <w:r>
              <w:t>0,26</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7423AA">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140E33" w:rsidRDefault="00140E33" w:rsidP="00140E33">
            <w:pPr>
              <w:pStyle w:val="ConsPlusNormal"/>
            </w:pPr>
            <w:r>
              <w:t>ООО «Смарт Систем Сервис»</w:t>
            </w:r>
          </w:p>
          <w:p w:rsidR="001E57B2" w:rsidRDefault="00140E33" w:rsidP="00140E33">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A2751D" w:rsidRDefault="00140E33" w:rsidP="00A2751D">
            <w:pPr>
              <w:pStyle w:val="ConsPlusNormal"/>
              <w:jc w:val="center"/>
            </w:pPr>
            <w:r>
              <w:t>0,1</w:t>
            </w:r>
            <w:r w:rsidR="00635003">
              <w:t>4</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A2423E">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A2423E" w:rsidP="00A2751D">
            <w:pPr>
              <w:pStyle w:val="ConsPlusNormal"/>
              <w:jc w:val="center"/>
              <w:rPr>
                <w:lang w:val="en-US"/>
              </w:rPr>
            </w:pPr>
            <w:r>
              <w:rPr>
                <w:noProof/>
              </w:rPr>
              <w:drawing>
                <wp:inline distT="0" distB="0" distL="0" distR="0" wp14:anchorId="3CBE155C" wp14:editId="6346381F">
                  <wp:extent cx="2653665" cy="2830195"/>
                  <wp:effectExtent l="0" t="0" r="13335" b="82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341" w:type="dxa"/>
            <w:vMerge/>
            <w:tcBorders>
              <w:top w:val="single" w:sz="4" w:space="0" w:color="auto"/>
              <w:left w:val="single" w:sz="4" w:space="0" w:color="auto"/>
            </w:tcBorders>
          </w:tcPr>
          <w:p w:rsidR="00A2751D" w:rsidRPr="0020563C" w:rsidRDefault="00A2751D" w:rsidP="00A2751D">
            <w:pPr>
              <w:pStyle w:val="ConsPlusNormal"/>
              <w:jc w:val="center"/>
            </w:pPr>
          </w:p>
        </w:tc>
      </w:tr>
      <w:tr w:rsidR="00A2423E"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423E" w:rsidRDefault="00A2423E" w:rsidP="00A2423E">
            <w:pPr>
              <w:pStyle w:val="ConsPlusNormal"/>
              <w:jc w:val="center"/>
            </w:pPr>
            <w:bookmarkStart w:id="0" w:name="_GoBack" w:colFirst="3" w:colLast="3"/>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2423E" w:rsidRPr="00900135" w:rsidRDefault="00A2423E" w:rsidP="00A2423E">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2423E" w:rsidRDefault="00A2423E" w:rsidP="00A2423E">
            <w:pPr>
              <w:jc w:val="center"/>
              <w:rPr>
                <w:rFonts w:ascii="Calibri" w:eastAsia="Times New Roman" w:hAnsi="Calibri" w:cs="Calibri"/>
                <w:color w:val="000000"/>
              </w:rPr>
            </w:pPr>
            <w:r>
              <w:rPr>
                <w:rFonts w:ascii="Calibri" w:hAnsi="Calibri" w:cs="Calibri"/>
                <w:color w:val="000000"/>
              </w:rPr>
              <w:t>0,41%</w:t>
            </w:r>
          </w:p>
        </w:tc>
        <w:tc>
          <w:tcPr>
            <w:tcW w:w="1928" w:type="dxa"/>
            <w:gridSpan w:val="2"/>
            <w:tcBorders>
              <w:top w:val="single" w:sz="4" w:space="0" w:color="auto"/>
              <w:left w:val="nil"/>
              <w:bottom w:val="single" w:sz="4" w:space="0" w:color="auto"/>
              <w:right w:val="nil"/>
            </w:tcBorders>
            <w:shd w:val="clear" w:color="auto" w:fill="auto"/>
            <w:vAlign w:val="center"/>
          </w:tcPr>
          <w:p w:rsidR="00A2423E" w:rsidRDefault="00A2423E" w:rsidP="00A2423E">
            <w:pPr>
              <w:jc w:val="center"/>
              <w:rPr>
                <w:rFonts w:ascii="Calibri" w:eastAsia="Times New Roman" w:hAnsi="Calibri" w:cs="Calibri"/>
                <w:color w:val="000000"/>
              </w:rPr>
            </w:pPr>
            <w:r>
              <w:rPr>
                <w:rFonts w:ascii="Calibri" w:hAnsi="Calibri" w:cs="Calibri"/>
                <w:color w:val="000000"/>
              </w:rPr>
              <w:t>-0,24%</w:t>
            </w:r>
          </w:p>
        </w:tc>
        <w:tc>
          <w:tcPr>
            <w:tcW w:w="341" w:type="dxa"/>
            <w:vMerge/>
            <w:tcBorders>
              <w:top w:val="single" w:sz="4" w:space="0" w:color="auto"/>
              <w:left w:val="single" w:sz="4" w:space="0" w:color="auto"/>
            </w:tcBorders>
          </w:tcPr>
          <w:p w:rsidR="00A2423E" w:rsidRPr="0020563C" w:rsidRDefault="00A2423E" w:rsidP="00A2423E">
            <w:pPr>
              <w:pStyle w:val="ConsPlusNormal"/>
              <w:jc w:val="center"/>
            </w:pPr>
          </w:p>
        </w:tc>
      </w:tr>
      <w:tr w:rsidR="00A2423E"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A2423E" w:rsidRDefault="00A2423E" w:rsidP="00A2423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2423E" w:rsidRPr="00900135" w:rsidRDefault="00A2423E" w:rsidP="00A2423E">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2423E" w:rsidRDefault="00A2423E" w:rsidP="00A2423E">
            <w:pPr>
              <w:jc w:val="center"/>
              <w:rPr>
                <w:rFonts w:ascii="Calibri" w:hAnsi="Calibri" w:cs="Calibri"/>
                <w:color w:val="000000"/>
              </w:rPr>
            </w:pPr>
            <w:r>
              <w:rPr>
                <w:rFonts w:ascii="Calibri" w:hAnsi="Calibri" w:cs="Calibri"/>
                <w:color w:val="000000"/>
              </w:rPr>
              <w:t>148,88%</w:t>
            </w:r>
          </w:p>
        </w:tc>
        <w:tc>
          <w:tcPr>
            <w:tcW w:w="1928" w:type="dxa"/>
            <w:gridSpan w:val="2"/>
            <w:tcBorders>
              <w:top w:val="single" w:sz="4" w:space="0" w:color="auto"/>
              <w:left w:val="nil"/>
              <w:bottom w:val="single" w:sz="4" w:space="0" w:color="auto"/>
              <w:right w:val="nil"/>
            </w:tcBorders>
            <w:shd w:val="clear" w:color="auto" w:fill="auto"/>
            <w:vAlign w:val="center"/>
          </w:tcPr>
          <w:p w:rsidR="00A2423E" w:rsidRDefault="00A2423E" w:rsidP="00A2423E">
            <w:pPr>
              <w:jc w:val="center"/>
              <w:rPr>
                <w:rFonts w:ascii="Calibri" w:hAnsi="Calibri" w:cs="Calibri"/>
                <w:color w:val="000000"/>
              </w:rPr>
            </w:pPr>
            <w:r>
              <w:rPr>
                <w:rFonts w:ascii="Calibri" w:hAnsi="Calibri" w:cs="Calibri"/>
                <w:color w:val="000000"/>
              </w:rPr>
              <w:t>146,76%</w:t>
            </w:r>
          </w:p>
        </w:tc>
        <w:tc>
          <w:tcPr>
            <w:tcW w:w="341" w:type="dxa"/>
            <w:vMerge/>
            <w:tcBorders>
              <w:top w:val="single" w:sz="4" w:space="0" w:color="auto"/>
              <w:left w:val="single" w:sz="4" w:space="0" w:color="auto"/>
            </w:tcBorders>
          </w:tcPr>
          <w:p w:rsidR="00A2423E" w:rsidRDefault="00A2423E" w:rsidP="00A2423E">
            <w:pPr>
              <w:pStyle w:val="ConsPlusNormal"/>
            </w:pPr>
          </w:p>
        </w:tc>
      </w:tr>
      <w:tr w:rsidR="00A2423E"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A2423E" w:rsidRDefault="00A2423E" w:rsidP="00A2423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2423E" w:rsidRPr="00900135" w:rsidRDefault="00A2423E" w:rsidP="00A2423E">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2423E" w:rsidRDefault="00A2423E" w:rsidP="00A2423E">
            <w:pPr>
              <w:jc w:val="center"/>
              <w:rPr>
                <w:rFonts w:ascii="Calibri" w:hAnsi="Calibri" w:cs="Calibri"/>
                <w:color w:val="000000"/>
              </w:rPr>
            </w:pPr>
            <w:r>
              <w:rPr>
                <w:rFonts w:ascii="Calibri" w:hAnsi="Calibri" w:cs="Calibri"/>
                <w:color w:val="000000"/>
              </w:rPr>
              <w:t>131,72%</w:t>
            </w:r>
          </w:p>
        </w:tc>
        <w:tc>
          <w:tcPr>
            <w:tcW w:w="1928" w:type="dxa"/>
            <w:gridSpan w:val="2"/>
            <w:tcBorders>
              <w:top w:val="single" w:sz="4" w:space="0" w:color="auto"/>
              <w:left w:val="nil"/>
              <w:bottom w:val="single" w:sz="4" w:space="0" w:color="auto"/>
              <w:right w:val="nil"/>
            </w:tcBorders>
            <w:shd w:val="clear" w:color="auto" w:fill="auto"/>
            <w:vAlign w:val="center"/>
          </w:tcPr>
          <w:p w:rsidR="00A2423E" w:rsidRDefault="00A2423E" w:rsidP="00A2423E">
            <w:pPr>
              <w:jc w:val="center"/>
              <w:rPr>
                <w:rFonts w:ascii="Calibri" w:hAnsi="Calibri" w:cs="Calibri"/>
                <w:color w:val="000000"/>
              </w:rPr>
            </w:pPr>
            <w:r>
              <w:rPr>
                <w:rFonts w:ascii="Calibri" w:hAnsi="Calibri" w:cs="Calibri"/>
                <w:color w:val="000000"/>
              </w:rPr>
              <w:t>125,51%</w:t>
            </w:r>
          </w:p>
        </w:tc>
        <w:tc>
          <w:tcPr>
            <w:tcW w:w="341" w:type="dxa"/>
            <w:vMerge/>
            <w:tcBorders>
              <w:top w:val="single" w:sz="4" w:space="0" w:color="auto"/>
              <w:left w:val="single" w:sz="4" w:space="0" w:color="auto"/>
            </w:tcBorders>
          </w:tcPr>
          <w:p w:rsidR="00A2423E" w:rsidRDefault="00A2423E" w:rsidP="00A2423E">
            <w:pPr>
              <w:pStyle w:val="ConsPlusNormal"/>
            </w:pPr>
          </w:p>
        </w:tc>
      </w:tr>
      <w:tr w:rsidR="00A2423E"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A2423E" w:rsidRDefault="00A2423E" w:rsidP="00A2423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2423E" w:rsidRPr="00900135" w:rsidRDefault="00A2423E" w:rsidP="00A2423E">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2423E" w:rsidRDefault="00A2423E" w:rsidP="00A2423E">
            <w:pPr>
              <w:jc w:val="center"/>
              <w:rPr>
                <w:rFonts w:ascii="Calibri" w:hAnsi="Calibri" w:cs="Calibri"/>
                <w:color w:val="000000"/>
              </w:rPr>
            </w:pPr>
            <w:r>
              <w:rPr>
                <w:rFonts w:ascii="Calibri" w:hAnsi="Calibri" w:cs="Calibri"/>
                <w:color w:val="000000"/>
              </w:rPr>
              <w:t>162,58%</w:t>
            </w:r>
          </w:p>
        </w:tc>
        <w:tc>
          <w:tcPr>
            <w:tcW w:w="1928" w:type="dxa"/>
            <w:gridSpan w:val="2"/>
            <w:tcBorders>
              <w:top w:val="single" w:sz="4" w:space="0" w:color="auto"/>
              <w:left w:val="nil"/>
              <w:bottom w:val="single" w:sz="4" w:space="0" w:color="auto"/>
              <w:right w:val="nil"/>
            </w:tcBorders>
            <w:shd w:val="clear" w:color="auto" w:fill="auto"/>
            <w:vAlign w:val="center"/>
          </w:tcPr>
          <w:p w:rsidR="00A2423E" w:rsidRDefault="00A2423E" w:rsidP="00A2423E">
            <w:pPr>
              <w:jc w:val="center"/>
              <w:rPr>
                <w:rFonts w:ascii="Calibri" w:hAnsi="Calibri" w:cs="Calibri"/>
                <w:color w:val="000000"/>
              </w:rPr>
            </w:pPr>
            <w:r>
              <w:rPr>
                <w:rFonts w:ascii="Calibri" w:hAnsi="Calibri" w:cs="Calibri"/>
                <w:color w:val="000000"/>
              </w:rPr>
              <w:t>152,14%</w:t>
            </w:r>
          </w:p>
        </w:tc>
        <w:tc>
          <w:tcPr>
            <w:tcW w:w="341" w:type="dxa"/>
            <w:vMerge/>
            <w:tcBorders>
              <w:top w:val="single" w:sz="4" w:space="0" w:color="auto"/>
              <w:left w:val="single" w:sz="4" w:space="0" w:color="auto"/>
            </w:tcBorders>
          </w:tcPr>
          <w:p w:rsidR="00A2423E" w:rsidRDefault="00A2423E" w:rsidP="00A2423E">
            <w:pPr>
              <w:pStyle w:val="ConsPlusNormal"/>
            </w:pPr>
          </w:p>
        </w:tc>
      </w:tr>
      <w:tr w:rsidR="00A2423E"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A2423E" w:rsidRDefault="00A2423E" w:rsidP="00A2423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2423E" w:rsidRPr="00900135" w:rsidRDefault="00A2423E" w:rsidP="00A2423E">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2423E" w:rsidRDefault="00A2423E" w:rsidP="00A2423E">
            <w:pPr>
              <w:jc w:val="center"/>
              <w:rPr>
                <w:rFonts w:ascii="Calibri" w:hAnsi="Calibri" w:cs="Calibri"/>
                <w:color w:val="000000"/>
              </w:rPr>
            </w:pPr>
            <w:r>
              <w:rPr>
                <w:rFonts w:ascii="Calibri" w:hAnsi="Calibri" w:cs="Calibri"/>
                <w:color w:val="000000"/>
              </w:rPr>
              <w:t>190,70%</w:t>
            </w:r>
          </w:p>
        </w:tc>
        <w:tc>
          <w:tcPr>
            <w:tcW w:w="1928" w:type="dxa"/>
            <w:gridSpan w:val="2"/>
            <w:tcBorders>
              <w:top w:val="single" w:sz="4" w:space="0" w:color="auto"/>
              <w:left w:val="nil"/>
              <w:bottom w:val="single" w:sz="4" w:space="0" w:color="auto"/>
              <w:right w:val="nil"/>
            </w:tcBorders>
            <w:shd w:val="clear" w:color="auto" w:fill="auto"/>
            <w:vAlign w:val="center"/>
          </w:tcPr>
          <w:p w:rsidR="00A2423E" w:rsidRDefault="00A2423E" w:rsidP="00A2423E">
            <w:pPr>
              <w:jc w:val="center"/>
              <w:rPr>
                <w:rFonts w:ascii="Calibri" w:hAnsi="Calibri" w:cs="Calibri"/>
                <w:color w:val="000000"/>
              </w:rPr>
            </w:pPr>
            <w:r>
              <w:rPr>
                <w:rFonts w:ascii="Calibri" w:hAnsi="Calibri" w:cs="Calibri"/>
                <w:color w:val="000000"/>
              </w:rPr>
              <w:t>168,94%</w:t>
            </w:r>
          </w:p>
        </w:tc>
        <w:tc>
          <w:tcPr>
            <w:tcW w:w="341" w:type="dxa"/>
            <w:vMerge/>
            <w:tcBorders>
              <w:top w:val="single" w:sz="4" w:space="0" w:color="auto"/>
              <w:left w:val="single" w:sz="4" w:space="0" w:color="auto"/>
            </w:tcBorders>
          </w:tcPr>
          <w:p w:rsidR="00A2423E" w:rsidRDefault="00A2423E" w:rsidP="00A2423E">
            <w:pPr>
              <w:pStyle w:val="ConsPlusNormal"/>
            </w:pPr>
          </w:p>
        </w:tc>
      </w:tr>
      <w:tr w:rsidR="00A2423E" w:rsidTr="0014147B">
        <w:trPr>
          <w:gridAfter w:val="4"/>
          <w:wAfter w:w="1364" w:type="dxa"/>
          <w:jc w:val="center"/>
        </w:trPr>
        <w:tc>
          <w:tcPr>
            <w:tcW w:w="4395" w:type="dxa"/>
            <w:gridSpan w:val="4"/>
            <w:tcBorders>
              <w:top w:val="single" w:sz="4" w:space="0" w:color="auto"/>
              <w:right w:val="single" w:sz="4" w:space="0" w:color="auto"/>
            </w:tcBorders>
          </w:tcPr>
          <w:p w:rsidR="00A2423E" w:rsidRDefault="00A2423E" w:rsidP="00A2423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2423E" w:rsidRPr="00900135" w:rsidRDefault="00A2423E" w:rsidP="00A2423E">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A2423E" w:rsidRDefault="00A2423E" w:rsidP="00A2423E">
            <w:pPr>
              <w:jc w:val="center"/>
              <w:rPr>
                <w:rFonts w:ascii="Calibri" w:hAnsi="Calibri" w:cs="Calibri"/>
                <w:color w:val="000000"/>
              </w:rPr>
            </w:pPr>
            <w:r>
              <w:rPr>
                <w:rFonts w:ascii="Calibri" w:hAnsi="Calibri" w:cs="Calibri"/>
                <w:color w:val="000000"/>
              </w:rPr>
              <w:t>231,10%</w:t>
            </w:r>
          </w:p>
        </w:tc>
        <w:tc>
          <w:tcPr>
            <w:tcW w:w="1928" w:type="dxa"/>
            <w:gridSpan w:val="2"/>
            <w:tcBorders>
              <w:top w:val="single" w:sz="4" w:space="0" w:color="auto"/>
              <w:left w:val="nil"/>
              <w:bottom w:val="single" w:sz="4" w:space="0" w:color="auto"/>
              <w:right w:val="nil"/>
            </w:tcBorders>
            <w:shd w:val="clear" w:color="auto" w:fill="auto"/>
            <w:vAlign w:val="center"/>
          </w:tcPr>
          <w:p w:rsidR="00A2423E" w:rsidRDefault="00A2423E" w:rsidP="00A2423E">
            <w:pPr>
              <w:jc w:val="center"/>
              <w:rPr>
                <w:rFonts w:ascii="Calibri" w:hAnsi="Calibri" w:cs="Calibri"/>
                <w:color w:val="000000"/>
              </w:rPr>
            </w:pPr>
            <w:r>
              <w:rPr>
                <w:rFonts w:ascii="Calibri" w:hAnsi="Calibri" w:cs="Calibri"/>
                <w:color w:val="000000"/>
              </w:rPr>
              <w:t>179,87%</w:t>
            </w:r>
          </w:p>
        </w:tc>
        <w:tc>
          <w:tcPr>
            <w:tcW w:w="341" w:type="dxa"/>
            <w:vMerge/>
            <w:tcBorders>
              <w:top w:val="single" w:sz="4" w:space="0" w:color="auto"/>
              <w:left w:val="single" w:sz="4" w:space="0" w:color="auto"/>
            </w:tcBorders>
          </w:tcPr>
          <w:p w:rsidR="00A2423E" w:rsidRDefault="00A2423E" w:rsidP="00A2423E">
            <w:pPr>
              <w:pStyle w:val="ConsPlusNormal"/>
            </w:pPr>
          </w:p>
        </w:tc>
      </w:tr>
      <w:bookmarkEnd w:id="0"/>
      <w:tr w:rsidR="00A2751D" w:rsidTr="0000443B">
        <w:trPr>
          <w:gridAfter w:val="4"/>
          <w:wAfter w:w="1364" w:type="dxa"/>
          <w:jc w:val="center"/>
        </w:trPr>
        <w:tc>
          <w:tcPr>
            <w:tcW w:w="4395" w:type="dxa"/>
            <w:gridSpan w:val="4"/>
            <w:tcBorders>
              <w:bottom w:val="single" w:sz="4" w:space="0" w:color="auto"/>
            </w:tcBorders>
          </w:tcPr>
          <w:p w:rsidR="00A2751D" w:rsidRPr="00C17F28" w:rsidRDefault="00A2751D" w:rsidP="00A2751D">
            <w:pPr>
              <w:pStyle w:val="ConsPlusNormal"/>
              <w:jc w:val="both"/>
            </w:pPr>
            <w:r>
              <w:t xml:space="preserve">1. Расчетная стоимость инвестиционного пая </w:t>
            </w:r>
            <w:r w:rsidR="006D3347">
              <w:rPr>
                <w:b/>
              </w:rPr>
              <w:t>2 928 457,87</w:t>
            </w:r>
            <w:r>
              <w:rPr>
                <w:b/>
              </w:rPr>
              <w:t xml:space="preserve"> 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Default="00A2751D" w:rsidP="00A2751D">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6D3347">
              <w:rPr>
                <w:b/>
              </w:rPr>
              <w:t>292 845 186,97</w:t>
            </w:r>
            <w:r w:rsidRPr="00180504">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w:t>
            </w:r>
            <w:r w:rsidRPr="002217B5">
              <w:lastRenderedPageBreak/>
              <w:t>перечисления на банковский счет, 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6D3347">
        <w:t>вуют данные инфляции за апрель</w:t>
      </w:r>
      <w:r w:rsidR="001E57B2">
        <w:t xml:space="preserve"> </w:t>
      </w:r>
      <w:r w:rsidR="008D622D">
        <w:t>2025</w:t>
      </w:r>
      <w:r w:rsidR="00CB0994">
        <w:t xml:space="preserve"> г. раскрытые Росстатом (</w:t>
      </w:r>
      <w:r w:rsidRPr="005C7547">
        <w:t>https://rosstat.gov.ru/), для расче</w:t>
      </w:r>
      <w:r>
        <w:t>т</w:t>
      </w:r>
      <w:r w:rsidR="006D3347">
        <w:t>а использованы данные за март</w:t>
      </w:r>
      <w:r w:rsidR="00C10B02">
        <w:t xml:space="preserve"> 2025</w:t>
      </w:r>
      <w:r>
        <w:t xml:space="preserve"> </w:t>
      </w:r>
      <w:r w:rsidRPr="005C7547">
        <w:t>г</w:t>
      </w:r>
      <w:r>
        <w:t>.</w:t>
      </w:r>
    </w:p>
    <w:p w:rsidR="005C7547" w:rsidRPr="00E035AD" w:rsidRDefault="005C7547" w:rsidP="003567F6">
      <w:pPr>
        <w:pStyle w:val="ConsPlusNormal"/>
        <w:jc w:val="both"/>
      </w:pPr>
    </w:p>
    <w:sectPr w:rsidR="005C7547" w:rsidRPr="00E035A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3F38"/>
    <w:rsid w:val="00073C4E"/>
    <w:rsid w:val="00092463"/>
    <w:rsid w:val="000A263D"/>
    <w:rsid w:val="000A6539"/>
    <w:rsid w:val="000B2B1C"/>
    <w:rsid w:val="000D6418"/>
    <w:rsid w:val="000E22E7"/>
    <w:rsid w:val="000E2606"/>
    <w:rsid w:val="000F2423"/>
    <w:rsid w:val="000F5EEC"/>
    <w:rsid w:val="00105B56"/>
    <w:rsid w:val="0011201A"/>
    <w:rsid w:val="00134B64"/>
    <w:rsid w:val="00140E33"/>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A90"/>
    <w:rsid w:val="0020563C"/>
    <w:rsid w:val="00212BD4"/>
    <w:rsid w:val="00215ECE"/>
    <w:rsid w:val="00220B4F"/>
    <w:rsid w:val="002279B7"/>
    <w:rsid w:val="002548E9"/>
    <w:rsid w:val="00264BB8"/>
    <w:rsid w:val="00266E4D"/>
    <w:rsid w:val="002737B6"/>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D7ED1"/>
    <w:rsid w:val="003F3864"/>
    <w:rsid w:val="003F4A61"/>
    <w:rsid w:val="003F6A76"/>
    <w:rsid w:val="00403126"/>
    <w:rsid w:val="00404DED"/>
    <w:rsid w:val="00421516"/>
    <w:rsid w:val="00455942"/>
    <w:rsid w:val="0046422B"/>
    <w:rsid w:val="00465834"/>
    <w:rsid w:val="00473367"/>
    <w:rsid w:val="004A15AB"/>
    <w:rsid w:val="004A2B58"/>
    <w:rsid w:val="004B0DA6"/>
    <w:rsid w:val="004C4AD6"/>
    <w:rsid w:val="004D2E03"/>
    <w:rsid w:val="004D2E7E"/>
    <w:rsid w:val="004D742E"/>
    <w:rsid w:val="004E3EE7"/>
    <w:rsid w:val="004E6ACB"/>
    <w:rsid w:val="004E6B42"/>
    <w:rsid w:val="004F1581"/>
    <w:rsid w:val="00527B62"/>
    <w:rsid w:val="00531663"/>
    <w:rsid w:val="00556974"/>
    <w:rsid w:val="005600F2"/>
    <w:rsid w:val="00572535"/>
    <w:rsid w:val="00585F2C"/>
    <w:rsid w:val="00596866"/>
    <w:rsid w:val="005A65B1"/>
    <w:rsid w:val="005C7547"/>
    <w:rsid w:val="005D329B"/>
    <w:rsid w:val="005F2A9E"/>
    <w:rsid w:val="00603612"/>
    <w:rsid w:val="00613964"/>
    <w:rsid w:val="0061424D"/>
    <w:rsid w:val="00625CD5"/>
    <w:rsid w:val="00635003"/>
    <w:rsid w:val="0064080E"/>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753E"/>
    <w:rsid w:val="008D622D"/>
    <w:rsid w:val="008D774D"/>
    <w:rsid w:val="00900135"/>
    <w:rsid w:val="00901BB8"/>
    <w:rsid w:val="009036F2"/>
    <w:rsid w:val="009074EC"/>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C266F"/>
    <w:rsid w:val="009C5021"/>
    <w:rsid w:val="009D6198"/>
    <w:rsid w:val="009E392A"/>
    <w:rsid w:val="009F1983"/>
    <w:rsid w:val="00A03647"/>
    <w:rsid w:val="00A12670"/>
    <w:rsid w:val="00A13034"/>
    <w:rsid w:val="00A2423E"/>
    <w:rsid w:val="00A2751D"/>
    <w:rsid w:val="00A315EE"/>
    <w:rsid w:val="00A31ECC"/>
    <w:rsid w:val="00A37FDE"/>
    <w:rsid w:val="00A451DF"/>
    <w:rsid w:val="00A62DC6"/>
    <w:rsid w:val="00A85E3A"/>
    <w:rsid w:val="00AA317E"/>
    <w:rsid w:val="00AA585D"/>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C531D"/>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B0994"/>
    <w:rsid w:val="00CB1C52"/>
    <w:rsid w:val="00CC3978"/>
    <w:rsid w:val="00CC596C"/>
    <w:rsid w:val="00CD10A0"/>
    <w:rsid w:val="00CE1F59"/>
    <w:rsid w:val="00CE37D7"/>
    <w:rsid w:val="00D00022"/>
    <w:rsid w:val="00D12FB4"/>
    <w:rsid w:val="00D2392E"/>
    <w:rsid w:val="00D444F6"/>
    <w:rsid w:val="00D524E8"/>
    <w:rsid w:val="00D538FC"/>
    <w:rsid w:val="00D555F6"/>
    <w:rsid w:val="00D62BFE"/>
    <w:rsid w:val="00D66EBC"/>
    <w:rsid w:val="00D768FF"/>
    <w:rsid w:val="00D77C72"/>
    <w:rsid w:val="00D8625D"/>
    <w:rsid w:val="00D87A80"/>
    <w:rsid w:val="00D916A5"/>
    <w:rsid w:val="00DB5EE0"/>
    <w:rsid w:val="00DC2756"/>
    <w:rsid w:val="00E02D05"/>
    <w:rsid w:val="00E034C4"/>
    <w:rsid w:val="00E035AD"/>
    <w:rsid w:val="00E1033C"/>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34CE5"/>
    <w:rsid w:val="00F40F2F"/>
    <w:rsid w:val="00F44B0F"/>
    <w:rsid w:val="00F51385"/>
    <w:rsid w:val="00F513D5"/>
    <w:rsid w:val="00F80705"/>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72;&#1087;&#1088;&#1077;&#1083;&#1100;\&#1044;&#1086;&#1093;&#1086;&#1076;&#1085;&#1086;&#1089;&#1090;&#1100;%2030.04.2025%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'[1]Доходность по годам'!$A$4:$A$8</c:f>
              <c:strCache>
                <c:ptCount val="5"/>
                <c:pt idx="0">
                  <c:v>2024</c:v>
                </c:pt>
                <c:pt idx="1">
                  <c:v>2023</c:v>
                </c:pt>
                <c:pt idx="2">
                  <c:v>2022</c:v>
                </c:pt>
                <c:pt idx="3">
                  <c:v>2021</c:v>
                </c:pt>
                <c:pt idx="4">
                  <c:v>2020</c:v>
                </c:pt>
              </c:strCache>
            </c:strRef>
          </c:cat>
          <c:val>
            <c:numRef>
              <c:f>'[1]Доходность по годам'!$E$4:$E$8</c:f>
              <c:numCache>
                <c:formatCode>General</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A422-4E4A-BABC-B389FFFBB786}"/>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B80F2-7830-4299-8439-5B967DE03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Pages>
  <Words>971</Words>
  <Characters>5540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57</cp:revision>
  <cp:lastPrinted>2022-10-11T08:50:00Z</cp:lastPrinted>
  <dcterms:created xsi:type="dcterms:W3CDTF">2024-08-08T11:49:00Z</dcterms:created>
  <dcterms:modified xsi:type="dcterms:W3CDTF">2026-06-15T15:00:00Z</dcterms:modified>
</cp:coreProperties>
</file>