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40" w:type="dxa"/>
        <w:jc w:val="center"/>
        <w:tblLayout w:type="fixed"/>
        <w:tblCellMar>
          <w:top w:w="102" w:type="dxa"/>
          <w:left w:w="62" w:type="dxa"/>
          <w:bottom w:w="102" w:type="dxa"/>
          <w:right w:w="62" w:type="dxa"/>
        </w:tblCellMar>
        <w:tblLook w:val="0000" w:firstRow="0" w:lastRow="0" w:firstColumn="0" w:lastColumn="0" w:noHBand="0" w:noVBand="0"/>
      </w:tblPr>
      <w:tblGrid>
        <w:gridCol w:w="340"/>
        <w:gridCol w:w="2682"/>
        <w:gridCol w:w="663"/>
        <w:gridCol w:w="1020"/>
        <w:gridCol w:w="257"/>
        <w:gridCol w:w="144"/>
        <w:gridCol w:w="848"/>
        <w:gridCol w:w="356"/>
        <w:gridCol w:w="636"/>
        <w:gridCol w:w="1051"/>
        <w:gridCol w:w="932"/>
        <w:gridCol w:w="144"/>
        <w:gridCol w:w="92"/>
        <w:gridCol w:w="165"/>
        <w:gridCol w:w="144"/>
        <w:gridCol w:w="341"/>
        <w:gridCol w:w="341"/>
        <w:gridCol w:w="341"/>
        <w:gridCol w:w="343"/>
      </w:tblGrid>
      <w:tr w:rsidR="00696ADF" w:rsidTr="00CA6757">
        <w:trPr>
          <w:gridAfter w:val="7"/>
          <w:wAfter w:w="1767" w:type="dxa"/>
          <w:jc w:val="center"/>
        </w:trPr>
        <w:tc>
          <w:tcPr>
            <w:tcW w:w="9073" w:type="dxa"/>
            <w:gridSpan w:val="12"/>
          </w:tcPr>
          <w:p w:rsidR="00696ADF" w:rsidRDefault="00696ADF" w:rsidP="0017130E">
            <w:pPr>
              <w:pStyle w:val="ConsPlusNormal"/>
              <w:jc w:val="center"/>
            </w:pPr>
            <w:r>
              <w:t>Ключевой информационный документ</w:t>
            </w:r>
          </w:p>
        </w:tc>
      </w:tr>
      <w:tr w:rsidR="00696ADF" w:rsidTr="00CA6757">
        <w:trPr>
          <w:gridAfter w:val="7"/>
          <w:wAfter w:w="1767" w:type="dxa"/>
          <w:jc w:val="center"/>
        </w:trPr>
        <w:tc>
          <w:tcPr>
            <w:tcW w:w="9073" w:type="dxa"/>
            <w:gridSpan w:val="12"/>
          </w:tcPr>
          <w:p w:rsidR="00696ADF" w:rsidRDefault="00696ADF" w:rsidP="0017130E">
            <w:pPr>
              <w:pStyle w:val="ConsPlusNormal"/>
              <w:jc w:val="center"/>
            </w:pPr>
            <w:r>
              <w:t>о паевом инвестиционном фонде</w:t>
            </w:r>
          </w:p>
        </w:tc>
      </w:tr>
      <w:tr w:rsidR="00696ADF" w:rsidTr="00CA6757">
        <w:trPr>
          <w:gridAfter w:val="7"/>
          <w:wAfter w:w="1767" w:type="dxa"/>
          <w:jc w:val="center"/>
        </w:trPr>
        <w:tc>
          <w:tcPr>
            <w:tcW w:w="9073" w:type="dxa"/>
            <w:gridSpan w:val="12"/>
          </w:tcPr>
          <w:p w:rsidR="00696ADF" w:rsidRDefault="00696ADF" w:rsidP="0017130E">
            <w:pPr>
              <w:pStyle w:val="ConsPlusNormal"/>
              <w:outlineLvl w:val="0"/>
            </w:pPr>
          </w:p>
        </w:tc>
      </w:tr>
      <w:tr w:rsidR="00696ADF" w:rsidTr="00CA6757">
        <w:trPr>
          <w:gridAfter w:val="7"/>
          <w:wAfter w:w="1767" w:type="dxa"/>
          <w:jc w:val="center"/>
        </w:trPr>
        <w:tc>
          <w:tcPr>
            <w:tcW w:w="9073" w:type="dxa"/>
            <w:gridSpan w:val="12"/>
          </w:tcPr>
          <w:p w:rsidR="00696ADF" w:rsidRDefault="00696ADF" w:rsidP="0017130E">
            <w:pPr>
              <w:pStyle w:val="ConsPlusNormal"/>
              <w:jc w:val="both"/>
              <w:outlineLvl w:val="0"/>
            </w:pPr>
            <w:r>
              <w:t>Раздел 1. Общие сведения</w:t>
            </w:r>
          </w:p>
        </w:tc>
      </w:tr>
      <w:tr w:rsidR="00696ADF" w:rsidTr="00CA6757">
        <w:trPr>
          <w:gridAfter w:val="7"/>
          <w:wAfter w:w="1767" w:type="dxa"/>
          <w:jc w:val="center"/>
        </w:trPr>
        <w:tc>
          <w:tcPr>
            <w:tcW w:w="9073" w:type="dxa"/>
            <w:gridSpan w:val="12"/>
          </w:tcPr>
          <w:p w:rsidR="00696ADF" w:rsidRDefault="00696ADF" w:rsidP="0017130E">
            <w:pPr>
              <w:pStyle w:val="ConsPlusNormal"/>
              <w:jc w:val="both"/>
            </w:pPr>
            <w:r>
              <w:t>Ключевой информационный документ</w:t>
            </w:r>
          </w:p>
          <w:p w:rsidR="00A62DC6" w:rsidRPr="00A62DC6" w:rsidRDefault="00696ADF" w:rsidP="0017130E">
            <w:pPr>
              <w:pStyle w:val="ConsPlusNormal"/>
              <w:jc w:val="both"/>
              <w:rPr>
                <w:b/>
                <w:color w:val="000000" w:themeColor="text1"/>
              </w:rPr>
            </w:pPr>
            <w:r>
              <w:t xml:space="preserve">по состоянию на </w:t>
            </w:r>
            <w:r w:rsidR="00B172B6">
              <w:rPr>
                <w:b/>
                <w:color w:val="000000" w:themeColor="text1"/>
              </w:rPr>
              <w:t>30</w:t>
            </w:r>
            <w:r w:rsidR="007B27F1">
              <w:rPr>
                <w:b/>
                <w:color w:val="000000" w:themeColor="text1"/>
              </w:rPr>
              <w:t>.0</w:t>
            </w:r>
            <w:r w:rsidR="00B172B6">
              <w:rPr>
                <w:b/>
                <w:color w:val="000000" w:themeColor="text1"/>
              </w:rPr>
              <w:t>6</w:t>
            </w:r>
            <w:r w:rsidR="00C06D00" w:rsidRPr="005249FF">
              <w:rPr>
                <w:b/>
                <w:color w:val="000000" w:themeColor="text1"/>
              </w:rPr>
              <w:t>.202</w:t>
            </w:r>
            <w:r w:rsidR="001051E8">
              <w:rPr>
                <w:b/>
                <w:color w:val="000000" w:themeColor="text1"/>
              </w:rPr>
              <w:t>6</w:t>
            </w:r>
          </w:p>
          <w:p w:rsidR="00696ADF" w:rsidRDefault="00696ADF" w:rsidP="0017130E">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696ADF" w:rsidTr="00CA6757">
        <w:trPr>
          <w:gridAfter w:val="7"/>
          <w:wAfter w:w="1767" w:type="dxa"/>
          <w:jc w:val="center"/>
        </w:trPr>
        <w:tc>
          <w:tcPr>
            <w:tcW w:w="9073" w:type="dxa"/>
            <w:gridSpan w:val="12"/>
          </w:tcPr>
          <w:p w:rsidR="00696ADF" w:rsidRDefault="00696ADF" w:rsidP="0017130E">
            <w:pPr>
              <w:pStyle w:val="ConsPlusNormal"/>
              <w:jc w:val="both"/>
            </w:pPr>
            <w:r>
              <w:t>Закрытый паевой инвестиционный фонд недвижимости «Финансы и недвижимость»</w:t>
            </w:r>
          </w:p>
        </w:tc>
      </w:tr>
      <w:tr w:rsidR="00696ADF" w:rsidTr="00CA6757">
        <w:trPr>
          <w:gridAfter w:val="7"/>
          <w:wAfter w:w="1767" w:type="dxa"/>
          <w:jc w:val="center"/>
        </w:trPr>
        <w:tc>
          <w:tcPr>
            <w:tcW w:w="9073" w:type="dxa"/>
            <w:gridSpan w:val="12"/>
            <w:tcBorders>
              <w:bottom w:val="single" w:sz="4" w:space="0" w:color="auto"/>
            </w:tcBorders>
          </w:tcPr>
          <w:p w:rsidR="00696ADF" w:rsidRDefault="00696ADF" w:rsidP="0017130E">
            <w:pPr>
              <w:pStyle w:val="ConsPlusNormal"/>
              <w:jc w:val="both"/>
            </w:pPr>
            <w:r>
              <w:t>ООО УК «Прогресс-Финанс»</w:t>
            </w:r>
          </w:p>
        </w:tc>
      </w:tr>
      <w:tr w:rsidR="00696ADF" w:rsidTr="00CA6757">
        <w:trPr>
          <w:gridAfter w:val="7"/>
          <w:wAfter w:w="1767" w:type="dxa"/>
          <w:jc w:val="center"/>
        </w:trPr>
        <w:tc>
          <w:tcPr>
            <w:tcW w:w="9073" w:type="dxa"/>
            <w:gridSpan w:val="12"/>
            <w:tcBorders>
              <w:top w:val="single" w:sz="4" w:space="0" w:color="auto"/>
            </w:tcBorders>
          </w:tcPr>
          <w:p w:rsidR="00696ADF" w:rsidRDefault="00696ADF" w:rsidP="0017130E">
            <w:pPr>
              <w:pStyle w:val="ConsPlusNormal"/>
              <w:outlineLvl w:val="0"/>
            </w:pPr>
            <w:r>
              <w:t>Раздел 2. Внимание</w:t>
            </w:r>
          </w:p>
        </w:tc>
      </w:tr>
      <w:tr w:rsidR="00696ADF" w:rsidRPr="005F2A9E" w:rsidTr="00CA6757">
        <w:trPr>
          <w:gridAfter w:val="4"/>
          <w:wAfter w:w="1366" w:type="dxa"/>
          <w:jc w:val="center"/>
        </w:trPr>
        <w:tc>
          <w:tcPr>
            <w:tcW w:w="4962" w:type="dxa"/>
            <w:gridSpan w:val="5"/>
            <w:tcBorders>
              <w:bottom w:val="single" w:sz="4" w:space="0" w:color="auto"/>
            </w:tcBorders>
          </w:tcPr>
          <w:p w:rsidR="00696ADF" w:rsidRDefault="00696ADF" w:rsidP="0017130E">
            <w:pPr>
              <w:pStyle w:val="ConsPlusNormal"/>
              <w:jc w:val="both"/>
            </w:pPr>
            <w:r>
              <w:t xml:space="preserve">1. Возврат и доходность инвестиций в паевой инвестиционный фонд не гарантированы государством или иными лицами. </w:t>
            </w:r>
          </w:p>
          <w:p w:rsidR="00696ADF" w:rsidRDefault="00696ADF" w:rsidP="0017130E">
            <w:pPr>
              <w:pStyle w:val="ConsPlusNormal"/>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rsidR="00696ADF" w:rsidRDefault="00696ADF" w:rsidP="00A451DF">
            <w:pPr>
              <w:pStyle w:val="ConsPlusNormal"/>
              <w:jc w:val="both"/>
            </w:pPr>
            <w:r>
              <w:t xml:space="preserve">3. </w:t>
            </w:r>
            <w:r w:rsidR="00A451DF" w:rsidRPr="00531E5E">
              <w:t xml:space="preserve">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w:t>
            </w:r>
            <w:r w:rsidR="00A451DF" w:rsidRPr="00531E5E">
              <w:rPr>
                <w:color w:val="000000"/>
              </w:rPr>
              <w:t>Ф</w:t>
            </w:r>
            <w:r w:rsidR="00A451DF" w:rsidRPr="00531E5E">
              <w:t>ондом.</w:t>
            </w:r>
            <w:r w:rsidR="008A56B6" w:rsidRPr="00531E5E">
              <w:t xml:space="preserve"> 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tc>
        <w:tc>
          <w:tcPr>
            <w:tcW w:w="144" w:type="dxa"/>
            <w:tcBorders>
              <w:bottom w:val="single" w:sz="4" w:space="0" w:color="auto"/>
            </w:tcBorders>
          </w:tcPr>
          <w:p w:rsidR="00696ADF" w:rsidRDefault="00696ADF" w:rsidP="0017130E">
            <w:pPr>
              <w:pStyle w:val="ConsPlusNormal"/>
            </w:pPr>
          </w:p>
        </w:tc>
        <w:tc>
          <w:tcPr>
            <w:tcW w:w="4368" w:type="dxa"/>
            <w:gridSpan w:val="9"/>
            <w:tcBorders>
              <w:bottom w:val="single" w:sz="4" w:space="0" w:color="auto"/>
            </w:tcBorders>
          </w:tcPr>
          <w:p w:rsidR="0097348A" w:rsidRPr="0097348A" w:rsidRDefault="00696ADF" w:rsidP="0017130E">
            <w:pPr>
              <w:pStyle w:val="ConsPlusNormal"/>
              <w:jc w:val="both"/>
            </w:pPr>
            <w:r>
              <w:t>4.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w:t>
            </w:r>
            <w:r w:rsidR="0097348A" w:rsidRPr="0097348A">
              <w:t>:</w:t>
            </w:r>
          </w:p>
          <w:p w:rsidR="00696ADF" w:rsidRPr="0097348A" w:rsidRDefault="0097348A" w:rsidP="0097348A">
            <w:pPr>
              <w:pStyle w:val="ConsPlusNormal"/>
              <w:jc w:val="both"/>
            </w:pPr>
            <w:r w:rsidRPr="0097348A">
              <w:t>https://www.progress-finance.ru/paevyie-investiczionnyie-fondyi/pdu/</w:t>
            </w:r>
            <w:r>
              <w:t>.</w:t>
            </w:r>
          </w:p>
        </w:tc>
      </w:tr>
      <w:tr w:rsidR="00696ADF" w:rsidTr="00CA6757">
        <w:trPr>
          <w:gridAfter w:val="7"/>
          <w:wAfter w:w="1767" w:type="dxa"/>
          <w:jc w:val="center"/>
        </w:trPr>
        <w:tc>
          <w:tcPr>
            <w:tcW w:w="9073" w:type="dxa"/>
            <w:gridSpan w:val="12"/>
            <w:tcBorders>
              <w:top w:val="single" w:sz="4" w:space="0" w:color="auto"/>
            </w:tcBorders>
          </w:tcPr>
          <w:p w:rsidR="00696ADF" w:rsidRDefault="00696ADF" w:rsidP="0017130E">
            <w:pPr>
              <w:pStyle w:val="ConsPlusNormal"/>
              <w:outlineLvl w:val="0"/>
            </w:pPr>
            <w:r>
              <w:t>Раздел 3. Инвестиционная стратегия</w:t>
            </w:r>
          </w:p>
        </w:tc>
      </w:tr>
      <w:tr w:rsidR="00696ADF" w:rsidTr="00CA6757">
        <w:trPr>
          <w:gridAfter w:val="4"/>
          <w:wAfter w:w="1366" w:type="dxa"/>
          <w:jc w:val="center"/>
        </w:trPr>
        <w:tc>
          <w:tcPr>
            <w:tcW w:w="4962" w:type="dxa"/>
            <w:gridSpan w:val="5"/>
            <w:vMerge w:val="restart"/>
            <w:tcBorders>
              <w:bottom w:val="single" w:sz="4" w:space="0" w:color="auto"/>
            </w:tcBorders>
          </w:tcPr>
          <w:p w:rsidR="0077111E" w:rsidRDefault="00696ADF" w:rsidP="0017130E">
            <w:pPr>
              <w:pStyle w:val="ConsPlusNormal"/>
              <w:jc w:val="both"/>
            </w:pPr>
            <w:r>
              <w:t>1. Фонд нацелен</w:t>
            </w:r>
            <w:r w:rsidRPr="00531E5E">
              <w:t xml:space="preserve"> </w:t>
            </w:r>
            <w:r>
              <w:t>на получение дохода</w:t>
            </w:r>
            <w:r w:rsidRPr="00531E5E">
              <w:t xml:space="preserve"> </w:t>
            </w:r>
            <w:r>
              <w:t>с помощью приобретения</w:t>
            </w:r>
            <w:r w:rsidRPr="00531E5E">
              <w:t xml:space="preserve"> объектов недвижимого имущества с целью их последующей продажи и (или) с целью сдачи </w:t>
            </w:r>
            <w:r w:rsidRPr="00531E5E">
              <w:lastRenderedPageBreak/>
              <w:t>их в аренду или субаренду.</w:t>
            </w:r>
          </w:p>
          <w:p w:rsidR="0077111E" w:rsidRDefault="0077111E" w:rsidP="0017130E">
            <w:pPr>
              <w:pStyle w:val="ConsPlusNormal"/>
              <w:jc w:val="both"/>
            </w:pPr>
            <w:r>
              <w:t>2. Реализуется стратегия</w:t>
            </w:r>
            <w:r w:rsidR="00D12FB4">
              <w:t xml:space="preserve"> активного</w:t>
            </w:r>
            <w:r w:rsidR="000E22E7">
              <w:t xml:space="preserve"> </w:t>
            </w:r>
            <w:r>
              <w:t xml:space="preserve">  управления.</w:t>
            </w:r>
          </w:p>
          <w:p w:rsidR="000E22E7" w:rsidRDefault="0077111E" w:rsidP="000E22E7">
            <w:pPr>
              <w:pStyle w:val="ConsPlusNormal"/>
              <w:jc w:val="both"/>
            </w:pPr>
            <w:r>
              <w:t xml:space="preserve"> 3.</w:t>
            </w:r>
            <w:r w:rsidR="000E22E7">
              <w:t xml:space="preserve"> Средства инвестируются в объекты недвижимого имущества и инструменты денежного рынка, предусмотренные</w:t>
            </w:r>
          </w:p>
          <w:p w:rsidR="00696ADF" w:rsidRDefault="000E22E7" w:rsidP="000E22E7">
            <w:pPr>
              <w:pStyle w:val="ConsPlusNormal"/>
              <w:jc w:val="both"/>
            </w:pPr>
            <w:r>
              <w:t>инвестиционной декларацией фонда.</w:t>
            </w:r>
          </w:p>
          <w:p w:rsidR="00696ADF" w:rsidRDefault="00A13034" w:rsidP="00C006DF">
            <w:pPr>
              <w:pStyle w:val="ConsPlusNormal"/>
              <w:jc w:val="both"/>
            </w:pPr>
            <w:r>
              <w:t>4.</w:t>
            </w:r>
            <w:r w:rsidR="00696ADF">
              <w:t xml:space="preserve"> </w:t>
            </w:r>
            <w:r>
              <w:t xml:space="preserve">Общее количество объектов </w:t>
            </w:r>
            <w:r w:rsidR="00D916A5">
              <w:t>инвестирования  -</w:t>
            </w:r>
            <w:r w:rsidR="00B56C9A">
              <w:t xml:space="preserve">  </w:t>
            </w:r>
            <w:r w:rsidR="00B172B6">
              <w:t>26</w:t>
            </w:r>
            <w:r w:rsidR="00264BB8" w:rsidRPr="005249FF">
              <w:t xml:space="preserve"> объект</w:t>
            </w:r>
            <w:r w:rsidR="00AE78BF">
              <w:t>ов</w:t>
            </w:r>
            <w:r w:rsidR="00264BB8" w:rsidRPr="005249FF">
              <w:t>.</w:t>
            </w:r>
          </w:p>
        </w:tc>
        <w:tc>
          <w:tcPr>
            <w:tcW w:w="144" w:type="dxa"/>
          </w:tcPr>
          <w:p w:rsidR="00696ADF" w:rsidRDefault="00696ADF" w:rsidP="0017130E">
            <w:pPr>
              <w:pStyle w:val="ConsPlusNormal"/>
            </w:pPr>
          </w:p>
        </w:tc>
        <w:tc>
          <w:tcPr>
            <w:tcW w:w="4368" w:type="dxa"/>
            <w:gridSpan w:val="9"/>
          </w:tcPr>
          <w:p w:rsidR="00696ADF" w:rsidRDefault="00A13034" w:rsidP="0017130E">
            <w:pPr>
              <w:pStyle w:val="ConsPlusNormal"/>
            </w:pPr>
            <w:r>
              <w:t>5</w:t>
            </w:r>
            <w:r w:rsidR="00696ADF">
              <w:t>. Крупнейшие объекты инвестирования в активах</w:t>
            </w:r>
          </w:p>
          <w:p w:rsidR="001E2247" w:rsidRDefault="001E2247" w:rsidP="0017130E">
            <w:pPr>
              <w:pStyle w:val="ConsPlusNormal"/>
            </w:pPr>
          </w:p>
          <w:p w:rsidR="001E2247" w:rsidRDefault="001E2247" w:rsidP="0017130E">
            <w:pPr>
              <w:pStyle w:val="ConsPlusNormal"/>
            </w:pPr>
          </w:p>
        </w:tc>
      </w:tr>
      <w:tr w:rsidR="00696ADF" w:rsidTr="00CA6757">
        <w:trPr>
          <w:gridAfter w:val="4"/>
          <w:wAfter w:w="1366" w:type="dxa"/>
          <w:jc w:val="center"/>
        </w:trPr>
        <w:tc>
          <w:tcPr>
            <w:tcW w:w="4962" w:type="dxa"/>
            <w:gridSpan w:val="5"/>
            <w:vMerge/>
            <w:tcBorders>
              <w:bottom w:val="single" w:sz="4" w:space="0" w:color="auto"/>
            </w:tcBorders>
          </w:tcPr>
          <w:p w:rsidR="00696ADF" w:rsidRDefault="00696ADF" w:rsidP="0017130E">
            <w:pPr>
              <w:pStyle w:val="ConsPlusNormal"/>
            </w:pPr>
          </w:p>
        </w:tc>
        <w:tc>
          <w:tcPr>
            <w:tcW w:w="144" w:type="dxa"/>
            <w:vMerge w:val="restart"/>
            <w:tcBorders>
              <w:bottom w:val="single" w:sz="4" w:space="0" w:color="auto"/>
              <w:right w:val="single" w:sz="4" w:space="0" w:color="auto"/>
            </w:tcBorders>
          </w:tcPr>
          <w:p w:rsidR="00696ADF" w:rsidRDefault="00696ADF"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Наименование объекта инвестирования</w:t>
            </w:r>
          </w:p>
        </w:tc>
        <w:tc>
          <w:tcPr>
            <w:tcW w:w="1333"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Доля от активов, %</w:t>
            </w:r>
          </w:p>
        </w:tc>
        <w:tc>
          <w:tcPr>
            <w:tcW w:w="144" w:type="dxa"/>
            <w:vMerge w:val="restart"/>
            <w:tcBorders>
              <w:bottom w:val="single" w:sz="4" w:space="0" w:color="auto"/>
            </w:tcBorders>
          </w:tcPr>
          <w:p w:rsidR="00696ADF" w:rsidRDefault="00696ADF" w:rsidP="0017130E">
            <w:pPr>
              <w:pStyle w:val="ConsPlusNormal"/>
            </w:pPr>
          </w:p>
        </w:tc>
      </w:tr>
      <w:tr w:rsidR="00B172B6" w:rsidTr="00B172B6">
        <w:trPr>
          <w:gridAfter w:val="4"/>
          <w:wAfter w:w="1366" w:type="dxa"/>
          <w:jc w:val="center"/>
        </w:trPr>
        <w:tc>
          <w:tcPr>
            <w:tcW w:w="4962" w:type="dxa"/>
            <w:gridSpan w:val="5"/>
            <w:vMerge/>
            <w:tcBorders>
              <w:bottom w:val="single" w:sz="4" w:space="0" w:color="auto"/>
            </w:tcBorders>
          </w:tcPr>
          <w:p w:rsidR="00B172B6" w:rsidRDefault="00B172B6" w:rsidP="00B172B6">
            <w:pPr>
              <w:pStyle w:val="ConsPlusNormal"/>
            </w:pPr>
          </w:p>
        </w:tc>
        <w:tc>
          <w:tcPr>
            <w:tcW w:w="144" w:type="dxa"/>
            <w:vMerge/>
            <w:tcBorders>
              <w:bottom w:val="single" w:sz="4" w:space="0" w:color="auto"/>
              <w:right w:val="single" w:sz="4" w:space="0" w:color="auto"/>
            </w:tcBorders>
          </w:tcPr>
          <w:p w:rsidR="00B172B6" w:rsidRDefault="00B172B6" w:rsidP="00B172B6">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172B6" w:rsidRDefault="00B172B6" w:rsidP="00B172B6">
            <w:pPr>
              <w:pStyle w:val="ConsPlusNormal"/>
            </w:pPr>
            <w:r>
              <w:t>77:02:0021010:3466, помещение нежилое, 127521, г. Москва, Анненский пр., домовладен. №7 стр. 1</w:t>
            </w:r>
          </w:p>
        </w:tc>
        <w:tc>
          <w:tcPr>
            <w:tcW w:w="1333" w:type="dxa"/>
            <w:gridSpan w:val="4"/>
            <w:tcBorders>
              <w:top w:val="single" w:sz="4" w:space="0" w:color="auto"/>
              <w:left w:val="single" w:sz="4" w:space="0" w:color="auto"/>
              <w:bottom w:val="single" w:sz="4" w:space="0" w:color="auto"/>
              <w:right w:val="single" w:sz="4" w:space="0" w:color="auto"/>
            </w:tcBorders>
            <w:vAlign w:val="center"/>
          </w:tcPr>
          <w:p w:rsidR="00B172B6" w:rsidRPr="00B172B6" w:rsidRDefault="00B172B6" w:rsidP="00B172B6">
            <w:pPr>
              <w:jc w:val="center"/>
              <w:rPr>
                <w:rFonts w:ascii="Times New Roman" w:hAnsi="Times New Roman"/>
                <w:sz w:val="24"/>
                <w:szCs w:val="24"/>
              </w:rPr>
            </w:pPr>
            <w:r w:rsidRPr="00B172B6">
              <w:rPr>
                <w:rFonts w:ascii="Times New Roman" w:hAnsi="Times New Roman"/>
                <w:sz w:val="24"/>
                <w:szCs w:val="24"/>
              </w:rPr>
              <w:t>93,09%</w:t>
            </w:r>
          </w:p>
        </w:tc>
        <w:tc>
          <w:tcPr>
            <w:tcW w:w="144" w:type="dxa"/>
            <w:vMerge/>
            <w:tcBorders>
              <w:bottom w:val="single" w:sz="4" w:space="0" w:color="auto"/>
            </w:tcBorders>
          </w:tcPr>
          <w:p w:rsidR="00B172B6" w:rsidRDefault="00B172B6" w:rsidP="00B172B6">
            <w:pPr>
              <w:pStyle w:val="ConsPlusNormal"/>
            </w:pPr>
          </w:p>
        </w:tc>
      </w:tr>
      <w:tr w:rsidR="00B172B6" w:rsidRPr="00B527B0" w:rsidTr="00B172B6">
        <w:trPr>
          <w:gridAfter w:val="4"/>
          <w:wAfter w:w="1366" w:type="dxa"/>
          <w:jc w:val="center"/>
        </w:trPr>
        <w:tc>
          <w:tcPr>
            <w:tcW w:w="4962" w:type="dxa"/>
            <w:gridSpan w:val="5"/>
            <w:vMerge/>
            <w:tcBorders>
              <w:bottom w:val="single" w:sz="4" w:space="0" w:color="auto"/>
            </w:tcBorders>
          </w:tcPr>
          <w:p w:rsidR="00B172B6" w:rsidRDefault="00B172B6" w:rsidP="00B172B6">
            <w:pPr>
              <w:pStyle w:val="ConsPlusNormal"/>
            </w:pPr>
          </w:p>
        </w:tc>
        <w:tc>
          <w:tcPr>
            <w:tcW w:w="144" w:type="dxa"/>
            <w:vMerge/>
            <w:tcBorders>
              <w:bottom w:val="single" w:sz="4" w:space="0" w:color="auto"/>
              <w:right w:val="single" w:sz="4" w:space="0" w:color="auto"/>
            </w:tcBorders>
          </w:tcPr>
          <w:p w:rsidR="00B172B6" w:rsidRDefault="00B172B6" w:rsidP="00B172B6">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172B6" w:rsidRDefault="00B172B6" w:rsidP="00B172B6">
            <w:pPr>
              <w:pStyle w:val="ConsPlusNormal"/>
            </w:pPr>
            <w:r>
              <w:t>77:02:0021005:1023, здание нежилое, 127521, г. Москва, Анненский пр.,домовладен. №7 стр. 2</w:t>
            </w:r>
          </w:p>
          <w:p w:rsidR="00B172B6" w:rsidRDefault="00B172B6" w:rsidP="00B172B6">
            <w:pPr>
              <w:pStyle w:val="ConsPlusNormal"/>
            </w:pPr>
          </w:p>
        </w:tc>
        <w:tc>
          <w:tcPr>
            <w:tcW w:w="1333" w:type="dxa"/>
            <w:gridSpan w:val="4"/>
            <w:tcBorders>
              <w:top w:val="single" w:sz="4" w:space="0" w:color="auto"/>
              <w:left w:val="single" w:sz="4" w:space="0" w:color="auto"/>
              <w:bottom w:val="single" w:sz="4" w:space="0" w:color="auto"/>
              <w:right w:val="single" w:sz="4" w:space="0" w:color="auto"/>
            </w:tcBorders>
            <w:vAlign w:val="center"/>
          </w:tcPr>
          <w:p w:rsidR="00B172B6" w:rsidRPr="00B172B6" w:rsidRDefault="00B172B6" w:rsidP="00B172B6">
            <w:pPr>
              <w:jc w:val="center"/>
              <w:rPr>
                <w:rFonts w:ascii="Times New Roman" w:hAnsi="Times New Roman"/>
                <w:sz w:val="24"/>
                <w:szCs w:val="24"/>
              </w:rPr>
            </w:pPr>
            <w:r w:rsidRPr="00B172B6">
              <w:rPr>
                <w:rFonts w:ascii="Times New Roman" w:hAnsi="Times New Roman"/>
                <w:sz w:val="24"/>
                <w:szCs w:val="24"/>
              </w:rPr>
              <w:t>3,84%</w:t>
            </w:r>
          </w:p>
        </w:tc>
        <w:tc>
          <w:tcPr>
            <w:tcW w:w="144" w:type="dxa"/>
            <w:vMerge/>
            <w:tcBorders>
              <w:bottom w:val="single" w:sz="4" w:space="0" w:color="auto"/>
            </w:tcBorders>
          </w:tcPr>
          <w:p w:rsidR="00B172B6" w:rsidRDefault="00B172B6" w:rsidP="00B172B6">
            <w:pPr>
              <w:pStyle w:val="ConsPlusNormal"/>
            </w:pPr>
          </w:p>
        </w:tc>
      </w:tr>
      <w:tr w:rsidR="00B172B6" w:rsidTr="00B172B6">
        <w:trPr>
          <w:gridAfter w:val="4"/>
          <w:wAfter w:w="1366" w:type="dxa"/>
          <w:trHeight w:val="614"/>
          <w:jc w:val="center"/>
        </w:trPr>
        <w:tc>
          <w:tcPr>
            <w:tcW w:w="4962" w:type="dxa"/>
            <w:gridSpan w:val="5"/>
            <w:vMerge/>
            <w:tcBorders>
              <w:bottom w:val="single" w:sz="4" w:space="0" w:color="auto"/>
            </w:tcBorders>
          </w:tcPr>
          <w:p w:rsidR="00B172B6" w:rsidRDefault="00B172B6" w:rsidP="00B172B6">
            <w:pPr>
              <w:pStyle w:val="ConsPlusNormal"/>
            </w:pPr>
          </w:p>
        </w:tc>
        <w:tc>
          <w:tcPr>
            <w:tcW w:w="144" w:type="dxa"/>
            <w:vMerge/>
            <w:tcBorders>
              <w:bottom w:val="single" w:sz="4" w:space="0" w:color="auto"/>
              <w:right w:val="single" w:sz="4" w:space="0" w:color="auto"/>
            </w:tcBorders>
          </w:tcPr>
          <w:p w:rsidR="00B172B6" w:rsidRDefault="00B172B6" w:rsidP="00B172B6">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172B6" w:rsidRPr="00A2751D" w:rsidRDefault="00B172B6" w:rsidP="00B172B6">
            <w:pPr>
              <w:pStyle w:val="ConsPlusNormal"/>
            </w:pPr>
            <w:r>
              <w:t xml:space="preserve">Расчетный счет в МОСКОМБАНК(Акционерное Общество) в </w:t>
            </w:r>
            <w:r>
              <w:rPr>
                <w:lang w:val="en-US"/>
              </w:rPr>
              <w:t>RUB</w:t>
            </w:r>
          </w:p>
        </w:tc>
        <w:tc>
          <w:tcPr>
            <w:tcW w:w="1333" w:type="dxa"/>
            <w:gridSpan w:val="4"/>
            <w:tcBorders>
              <w:top w:val="single" w:sz="4" w:space="0" w:color="auto"/>
              <w:left w:val="single" w:sz="4" w:space="0" w:color="auto"/>
              <w:bottom w:val="single" w:sz="4" w:space="0" w:color="auto"/>
              <w:right w:val="single" w:sz="4" w:space="0" w:color="auto"/>
            </w:tcBorders>
            <w:vAlign w:val="center"/>
          </w:tcPr>
          <w:p w:rsidR="00B172B6" w:rsidRPr="00B172B6" w:rsidRDefault="00B172B6" w:rsidP="00B172B6">
            <w:pPr>
              <w:jc w:val="center"/>
              <w:rPr>
                <w:rFonts w:ascii="Times New Roman" w:hAnsi="Times New Roman"/>
                <w:sz w:val="24"/>
                <w:szCs w:val="24"/>
              </w:rPr>
            </w:pPr>
            <w:r w:rsidRPr="00B172B6">
              <w:rPr>
                <w:rFonts w:ascii="Times New Roman" w:hAnsi="Times New Roman"/>
                <w:sz w:val="24"/>
                <w:szCs w:val="24"/>
              </w:rPr>
              <w:t>1,74%</w:t>
            </w:r>
          </w:p>
        </w:tc>
        <w:tc>
          <w:tcPr>
            <w:tcW w:w="144" w:type="dxa"/>
            <w:vMerge/>
            <w:tcBorders>
              <w:bottom w:val="single" w:sz="4" w:space="0" w:color="auto"/>
            </w:tcBorders>
          </w:tcPr>
          <w:p w:rsidR="00B172B6" w:rsidRDefault="00B172B6" w:rsidP="00B172B6">
            <w:pPr>
              <w:pStyle w:val="ConsPlusNormal"/>
            </w:pPr>
          </w:p>
        </w:tc>
      </w:tr>
      <w:tr w:rsidR="00A2751D" w:rsidTr="00CA6757">
        <w:trPr>
          <w:jc w:val="center"/>
        </w:trPr>
        <w:tc>
          <w:tcPr>
            <w:tcW w:w="4962" w:type="dxa"/>
            <w:gridSpan w:val="5"/>
            <w:vMerge w:val="restart"/>
            <w:tcBorders>
              <w:bottom w:val="single" w:sz="4" w:space="0" w:color="auto"/>
            </w:tcBorders>
          </w:tcPr>
          <w:p w:rsidR="00A2751D" w:rsidRDefault="00A2751D" w:rsidP="00A2751D">
            <w:pPr>
              <w:pStyle w:val="ConsPlusNormal"/>
            </w:pPr>
            <w:bookmarkStart w:id="0" w:name="_GoBack"/>
            <w:bookmarkEnd w:id="0"/>
          </w:p>
        </w:tc>
        <w:tc>
          <w:tcPr>
            <w:tcW w:w="144" w:type="dxa"/>
            <w:vMerge w:val="restart"/>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43D46" w:rsidRPr="00B43D46" w:rsidRDefault="00B43D46" w:rsidP="00B43D46">
            <w:pPr>
              <w:outlineLvl w:val="2"/>
              <w:rPr>
                <w:rFonts w:ascii="Arial" w:eastAsia="Times New Roman" w:hAnsi="Arial" w:cs="Arial"/>
              </w:rPr>
            </w:pPr>
            <w:r>
              <w:rPr>
                <w:rFonts w:ascii="Arial" w:hAnsi="Arial" w:cs="Arial"/>
              </w:rPr>
              <w:t>ООО «Газпром м</w:t>
            </w:r>
            <w:r w:rsidRPr="00B43D46">
              <w:rPr>
                <w:rFonts w:ascii="Arial" w:hAnsi="Arial" w:cs="Arial"/>
              </w:rPr>
              <w:t>ежрегионгаз</w:t>
            </w:r>
            <w:r>
              <w:rPr>
                <w:rFonts w:ascii="Arial" w:hAnsi="Arial" w:cs="Arial"/>
              </w:rPr>
              <w:t xml:space="preserve"> Москва»</w:t>
            </w:r>
          </w:p>
          <w:p w:rsidR="00A2751D" w:rsidRDefault="00B43D46" w:rsidP="00140E33">
            <w:pPr>
              <w:pStyle w:val="ConsPlusNormal"/>
            </w:pPr>
            <w:r>
              <w:t>(ИНН 5009033419</w:t>
            </w:r>
            <w:r w:rsidR="003B39C3">
              <w:t>)</w:t>
            </w:r>
          </w:p>
        </w:tc>
        <w:tc>
          <w:tcPr>
            <w:tcW w:w="1333" w:type="dxa"/>
            <w:gridSpan w:val="4"/>
            <w:tcBorders>
              <w:top w:val="single" w:sz="4" w:space="0" w:color="auto"/>
              <w:left w:val="single" w:sz="4" w:space="0" w:color="auto"/>
              <w:bottom w:val="single" w:sz="4" w:space="0" w:color="auto"/>
              <w:right w:val="single" w:sz="4" w:space="0" w:color="auto"/>
            </w:tcBorders>
          </w:tcPr>
          <w:p w:rsidR="00A2751D" w:rsidRPr="005249FF" w:rsidRDefault="00B172B6" w:rsidP="00A2751D">
            <w:pPr>
              <w:pStyle w:val="ConsPlusNormal"/>
              <w:jc w:val="center"/>
            </w:pPr>
            <w:r>
              <w:t>0,31</w:t>
            </w:r>
            <w:r w:rsidR="00A2751D" w:rsidRPr="005249FF">
              <w:t>%</w:t>
            </w:r>
          </w:p>
        </w:tc>
        <w:tc>
          <w:tcPr>
            <w:tcW w:w="144" w:type="dxa"/>
            <w:vMerge w:val="restart"/>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c>
          <w:tcPr>
            <w:tcW w:w="341" w:type="dxa"/>
          </w:tcPr>
          <w:p w:rsidR="00A2751D" w:rsidRDefault="00A2751D" w:rsidP="00A2751D"/>
        </w:tc>
        <w:tc>
          <w:tcPr>
            <w:tcW w:w="343" w:type="dxa"/>
          </w:tcPr>
          <w:p w:rsidR="00A2751D" w:rsidRDefault="00A2751D" w:rsidP="00A2751D"/>
        </w:tc>
      </w:tr>
      <w:tr w:rsidR="00A2751D" w:rsidRPr="00F513D5" w:rsidTr="00CA6757">
        <w:trPr>
          <w:gridAfter w:val="2"/>
          <w:wAfter w:w="684" w:type="dxa"/>
          <w:trHeight w:val="734"/>
          <w:jc w:val="center"/>
        </w:trPr>
        <w:tc>
          <w:tcPr>
            <w:tcW w:w="4962" w:type="dxa"/>
            <w:gridSpan w:val="5"/>
            <w:vMerge/>
            <w:tcBorders>
              <w:bottom w:val="single" w:sz="4" w:space="0" w:color="auto"/>
            </w:tcBorders>
          </w:tcPr>
          <w:p w:rsidR="00A2751D" w:rsidRDefault="00A2751D" w:rsidP="00A2751D">
            <w:pPr>
              <w:pStyle w:val="ConsPlusNormal"/>
            </w:pPr>
          </w:p>
        </w:tc>
        <w:tc>
          <w:tcPr>
            <w:tcW w:w="144"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3B39C3" w:rsidRDefault="003B39C3" w:rsidP="003B39C3">
            <w:pPr>
              <w:pStyle w:val="ConsPlusNormal"/>
            </w:pPr>
            <w:r>
              <w:t>АО «Мосэнергосбыт»</w:t>
            </w:r>
          </w:p>
          <w:p w:rsidR="003B39C3" w:rsidRDefault="003B39C3" w:rsidP="003B39C3">
            <w:pPr>
              <w:pStyle w:val="ConsPlusNormal"/>
            </w:pPr>
            <w:r>
              <w:t>(ИНН:7736520080)</w:t>
            </w:r>
          </w:p>
        </w:tc>
        <w:tc>
          <w:tcPr>
            <w:tcW w:w="1333" w:type="dxa"/>
            <w:gridSpan w:val="4"/>
            <w:tcBorders>
              <w:top w:val="single" w:sz="4" w:space="0" w:color="auto"/>
              <w:left w:val="single" w:sz="4" w:space="0" w:color="auto"/>
              <w:bottom w:val="single" w:sz="4" w:space="0" w:color="auto"/>
              <w:right w:val="single" w:sz="4" w:space="0" w:color="auto"/>
            </w:tcBorders>
          </w:tcPr>
          <w:p w:rsidR="00A2751D" w:rsidRPr="005249FF" w:rsidRDefault="00B172B6" w:rsidP="00A2751D">
            <w:pPr>
              <w:pStyle w:val="ConsPlusNormal"/>
              <w:jc w:val="center"/>
            </w:pPr>
            <w:r>
              <w:t>0,20</w:t>
            </w:r>
            <w:r w:rsidR="00AC6B99" w:rsidRPr="005249FF">
              <w:t>%</w:t>
            </w:r>
          </w:p>
        </w:tc>
        <w:tc>
          <w:tcPr>
            <w:tcW w:w="144" w:type="dxa"/>
            <w:vMerge/>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r>
      <w:tr w:rsidR="00A2751D" w:rsidTr="00CA6757">
        <w:trPr>
          <w:gridAfter w:val="7"/>
          <w:wAfter w:w="1767" w:type="dxa"/>
          <w:jc w:val="center"/>
        </w:trPr>
        <w:tc>
          <w:tcPr>
            <w:tcW w:w="9073" w:type="dxa"/>
            <w:gridSpan w:val="12"/>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A2751D" w:rsidRPr="001051E8" w:rsidRDefault="00A2751D" w:rsidP="00A2751D">
            <w:pPr>
              <w:pStyle w:val="ConsPlusNormal"/>
              <w:jc w:val="both"/>
              <w:outlineLvl w:val="0"/>
              <w:rPr>
                <w:lang w:val="en-US"/>
              </w:rPr>
            </w:pPr>
          </w:p>
          <w:p w:rsidR="00A2751D" w:rsidRDefault="00A2751D" w:rsidP="00A2751D">
            <w:pPr>
              <w:pStyle w:val="ConsPlusNormal"/>
              <w:jc w:val="both"/>
              <w:outlineLvl w:val="0"/>
            </w:pPr>
          </w:p>
          <w:p w:rsidR="00A2751D" w:rsidRDefault="00A2751D" w:rsidP="00A2751D">
            <w:pPr>
              <w:pStyle w:val="ConsPlusNormal"/>
              <w:jc w:val="both"/>
              <w:outlineLvl w:val="0"/>
            </w:pPr>
            <w:r>
              <w:t>Раздел 4. Основные инвестиционные риски</w:t>
            </w:r>
          </w:p>
        </w:tc>
      </w:tr>
      <w:tr w:rsidR="00A2751D" w:rsidTr="00CA6757">
        <w:trPr>
          <w:gridAfter w:val="7"/>
          <w:wAfter w:w="1767" w:type="dxa"/>
          <w:jc w:val="center"/>
        </w:trPr>
        <w:tc>
          <w:tcPr>
            <w:tcW w:w="3022"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Вид риска</w:t>
            </w:r>
          </w:p>
        </w:tc>
        <w:tc>
          <w:tcPr>
            <w:tcW w:w="3288" w:type="dxa"/>
            <w:gridSpan w:val="6"/>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Вероятность реализации риска</w:t>
            </w:r>
          </w:p>
        </w:tc>
        <w:tc>
          <w:tcPr>
            <w:tcW w:w="2763"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Объем потерь при реализации риска</w:t>
            </w:r>
          </w:p>
        </w:tc>
      </w:tr>
      <w:tr w:rsidR="00A2751D" w:rsidTr="00CA6757">
        <w:trPr>
          <w:gridAfter w:val="7"/>
          <w:wAfter w:w="1767" w:type="dxa"/>
          <w:jc w:val="center"/>
        </w:trPr>
        <w:tc>
          <w:tcPr>
            <w:tcW w:w="3022"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Ценовой риск</w:t>
            </w:r>
          </w:p>
        </w:tc>
        <w:tc>
          <w:tcPr>
            <w:tcW w:w="3288" w:type="dxa"/>
            <w:gridSpan w:val="6"/>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3"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средний</w:t>
            </w:r>
          </w:p>
        </w:tc>
      </w:tr>
      <w:tr w:rsidR="00A2751D" w:rsidTr="00CA6757">
        <w:trPr>
          <w:gridAfter w:val="7"/>
          <w:wAfter w:w="1767" w:type="dxa"/>
          <w:jc w:val="center"/>
        </w:trPr>
        <w:tc>
          <w:tcPr>
            <w:tcW w:w="3022"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Кредитный риск</w:t>
            </w:r>
          </w:p>
        </w:tc>
        <w:tc>
          <w:tcPr>
            <w:tcW w:w="3288" w:type="dxa"/>
            <w:gridSpan w:val="6"/>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3"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значительный</w:t>
            </w:r>
          </w:p>
        </w:tc>
      </w:tr>
      <w:tr w:rsidR="00A2751D" w:rsidTr="00CA6757">
        <w:trPr>
          <w:gridAfter w:val="7"/>
          <w:wAfter w:w="1767" w:type="dxa"/>
          <w:jc w:val="center"/>
        </w:trPr>
        <w:tc>
          <w:tcPr>
            <w:tcW w:w="9073" w:type="dxa"/>
            <w:gridSpan w:val="12"/>
            <w:tcBorders>
              <w:top w:val="single" w:sz="4" w:space="0" w:color="auto"/>
              <w:bottom w:val="single" w:sz="4" w:space="0" w:color="auto"/>
            </w:tcBorders>
          </w:tcPr>
          <w:p w:rsidR="00A2751D" w:rsidRDefault="00A2751D" w:rsidP="00A2751D">
            <w:pPr>
              <w:pStyle w:val="ConsPlusNormal"/>
            </w:pPr>
          </w:p>
        </w:tc>
      </w:tr>
      <w:tr w:rsidR="00A2751D" w:rsidTr="00CA6757">
        <w:trPr>
          <w:gridAfter w:val="7"/>
          <w:wAfter w:w="1767" w:type="dxa"/>
          <w:jc w:val="center"/>
        </w:trPr>
        <w:tc>
          <w:tcPr>
            <w:tcW w:w="5954" w:type="dxa"/>
            <w:gridSpan w:val="7"/>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A2751D" w:rsidRDefault="00A2751D" w:rsidP="00A2751D">
            <w:pPr>
              <w:pStyle w:val="ConsPlusNormal"/>
              <w:jc w:val="both"/>
              <w:outlineLvl w:val="0"/>
            </w:pPr>
            <w:r>
              <w:t>Раздел 5. Основные результаты инвестирования</w:t>
            </w:r>
          </w:p>
        </w:tc>
        <w:tc>
          <w:tcPr>
            <w:tcW w:w="3119" w:type="dxa"/>
            <w:gridSpan w:val="5"/>
            <w:tcBorders>
              <w:top w:val="single" w:sz="4" w:space="0" w:color="auto"/>
            </w:tcBorders>
          </w:tcPr>
          <w:p w:rsidR="00A2751D" w:rsidRDefault="00A2751D" w:rsidP="00A2751D">
            <w:pPr>
              <w:pStyle w:val="ConsPlusNormal"/>
            </w:pPr>
          </w:p>
        </w:tc>
      </w:tr>
      <w:tr w:rsidR="00A2751D" w:rsidTr="00CA6757">
        <w:trPr>
          <w:gridAfter w:val="7"/>
          <w:wAfter w:w="1767" w:type="dxa"/>
          <w:jc w:val="center"/>
        </w:trPr>
        <w:tc>
          <w:tcPr>
            <w:tcW w:w="4962" w:type="dxa"/>
            <w:gridSpan w:val="5"/>
            <w:tcBorders>
              <w:top w:val="single" w:sz="4" w:space="0" w:color="auto"/>
              <w:bottom w:val="single" w:sz="4" w:space="0" w:color="auto"/>
            </w:tcBorders>
            <w:vAlign w:val="bottom"/>
          </w:tcPr>
          <w:p w:rsidR="00A2751D" w:rsidRDefault="00A2751D" w:rsidP="00A2751D">
            <w:pPr>
              <w:pStyle w:val="ConsPlusNormal"/>
            </w:pPr>
            <w:r>
              <w:lastRenderedPageBreak/>
              <w:t>Доходность за календарный год, %</w:t>
            </w:r>
          </w:p>
        </w:tc>
        <w:tc>
          <w:tcPr>
            <w:tcW w:w="4111" w:type="dxa"/>
            <w:gridSpan w:val="7"/>
            <w:tcBorders>
              <w:bottom w:val="single" w:sz="4" w:space="0" w:color="auto"/>
            </w:tcBorders>
          </w:tcPr>
          <w:p w:rsidR="00A2751D" w:rsidRDefault="00A2751D" w:rsidP="00A2751D">
            <w:pPr>
              <w:pStyle w:val="ConsPlusNormal"/>
              <w:jc w:val="both"/>
            </w:pPr>
            <w:r>
              <w:t>Доходность за период, %</w:t>
            </w:r>
          </w:p>
        </w:tc>
      </w:tr>
      <w:tr w:rsidR="00A2751D" w:rsidTr="00667DB8">
        <w:tblPrEx>
          <w:tblCellMar>
            <w:left w:w="108" w:type="dxa"/>
            <w:right w:w="108" w:type="dxa"/>
          </w:tblCellMar>
        </w:tblPrEx>
        <w:trPr>
          <w:gridAfter w:val="6"/>
          <w:wAfter w:w="1675" w:type="dxa"/>
          <w:jc w:val="center"/>
        </w:trPr>
        <w:tc>
          <w:tcPr>
            <w:tcW w:w="4962" w:type="dxa"/>
            <w:gridSpan w:val="5"/>
            <w:vMerge w:val="restart"/>
            <w:tcBorders>
              <w:top w:val="single" w:sz="4" w:space="0" w:color="auto"/>
              <w:bottom w:val="single" w:sz="4" w:space="0" w:color="auto"/>
              <w:right w:val="single" w:sz="4" w:space="0" w:color="auto"/>
            </w:tcBorders>
            <w:vAlign w:val="center"/>
          </w:tcPr>
          <w:p w:rsidR="00A2751D" w:rsidRPr="00173178" w:rsidRDefault="00667DB8" w:rsidP="00A2751D">
            <w:pPr>
              <w:pStyle w:val="ConsPlusNormal"/>
              <w:jc w:val="center"/>
            </w:pPr>
            <w:r>
              <w:rPr>
                <w:noProof/>
              </w:rPr>
              <w:drawing>
                <wp:inline distT="0" distB="0" distL="0" distR="0" wp14:anchorId="149CFEE6" wp14:editId="65EB7E84">
                  <wp:extent cx="3042285" cy="2505075"/>
                  <wp:effectExtent l="0" t="0" r="571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Период</w:t>
            </w: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Доходность инвестиций</w:t>
            </w:r>
          </w:p>
        </w:tc>
        <w:tc>
          <w:tcPr>
            <w:tcW w:w="1983" w:type="dxa"/>
            <w:gridSpan w:val="2"/>
            <w:tcBorders>
              <w:top w:val="single" w:sz="4" w:space="0" w:color="auto"/>
              <w:left w:val="single" w:sz="4" w:space="0" w:color="auto"/>
              <w:bottom w:val="single" w:sz="4" w:space="0" w:color="auto"/>
              <w:right w:val="single" w:sz="4" w:space="0" w:color="auto"/>
            </w:tcBorders>
          </w:tcPr>
          <w:p w:rsidR="00A2751D" w:rsidRPr="0020563C" w:rsidRDefault="00A2751D" w:rsidP="00A2751D">
            <w:pPr>
              <w:pStyle w:val="ConsPlusNormal"/>
              <w:jc w:val="center"/>
            </w:pPr>
            <w:r w:rsidRPr="0020563C">
              <w:t>Отклонение доходности от</w:t>
            </w:r>
          </w:p>
        </w:tc>
        <w:tc>
          <w:tcPr>
            <w:tcW w:w="236" w:type="dxa"/>
            <w:gridSpan w:val="2"/>
            <w:tcBorders>
              <w:top w:val="single" w:sz="4" w:space="0" w:color="auto"/>
              <w:left w:val="single" w:sz="4" w:space="0" w:color="auto"/>
            </w:tcBorders>
          </w:tcPr>
          <w:p w:rsidR="00A2751D" w:rsidRPr="0020563C" w:rsidRDefault="00A2751D" w:rsidP="00A2751D">
            <w:pPr>
              <w:pStyle w:val="ConsPlusNormal"/>
              <w:jc w:val="center"/>
            </w:pPr>
          </w:p>
        </w:tc>
      </w:tr>
      <w:tr w:rsidR="00A2751D" w:rsidTr="002D1820">
        <w:trPr>
          <w:gridAfter w:val="7"/>
          <w:wAfter w:w="1767" w:type="dxa"/>
          <w:jc w:val="center"/>
        </w:trPr>
        <w:tc>
          <w:tcPr>
            <w:tcW w:w="4962" w:type="dxa"/>
            <w:gridSpan w:val="5"/>
            <w:vMerge/>
            <w:tcBorders>
              <w:top w:val="single" w:sz="4" w:space="0" w:color="auto"/>
              <w:bottom w:val="single" w:sz="4" w:space="0" w:color="auto"/>
              <w:right w:val="single" w:sz="4" w:space="0" w:color="auto"/>
            </w:tcBorders>
          </w:tcPr>
          <w:p w:rsidR="00A2751D" w:rsidRDefault="00A2751D" w:rsidP="00A2751D">
            <w:pPr>
              <w:pStyle w:val="ConsPlusNormal"/>
            </w:pPr>
          </w:p>
        </w:tc>
        <w:tc>
          <w:tcPr>
            <w:tcW w:w="992"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992"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1983" w:type="dxa"/>
            <w:gridSpan w:val="2"/>
            <w:tcBorders>
              <w:top w:val="single" w:sz="4" w:space="0" w:color="auto"/>
              <w:left w:val="single" w:sz="4" w:space="0" w:color="auto"/>
              <w:bottom w:val="single" w:sz="4" w:space="0" w:color="auto"/>
              <w:right w:val="single" w:sz="4" w:space="0" w:color="auto"/>
            </w:tcBorders>
          </w:tcPr>
          <w:p w:rsidR="00A2751D" w:rsidRPr="00D444F6" w:rsidRDefault="00A2751D" w:rsidP="00A2751D">
            <w:pPr>
              <w:pStyle w:val="ConsPlusNormal"/>
              <w:jc w:val="center"/>
              <w:rPr>
                <w:lang w:val="en-US"/>
              </w:rPr>
            </w:pPr>
            <w:r w:rsidRPr="0020563C">
              <w:t>Инфляции</w:t>
            </w:r>
            <w:r>
              <w:rPr>
                <w:lang w:val="en-US"/>
              </w:rPr>
              <w:t>*</w:t>
            </w:r>
            <w:r>
              <w:t xml:space="preserve"> </w:t>
            </w:r>
          </w:p>
          <w:p w:rsidR="00A2751D" w:rsidRPr="0020563C" w:rsidRDefault="00A2751D" w:rsidP="00A2751D">
            <w:pPr>
              <w:pStyle w:val="ConsPlusNormal"/>
              <w:jc w:val="center"/>
            </w:pPr>
          </w:p>
        </w:tc>
        <w:tc>
          <w:tcPr>
            <w:tcW w:w="144" w:type="dxa"/>
            <w:vMerge w:val="restart"/>
            <w:tcBorders>
              <w:top w:val="single" w:sz="4" w:space="0" w:color="auto"/>
              <w:left w:val="single" w:sz="4" w:space="0" w:color="auto"/>
            </w:tcBorders>
          </w:tcPr>
          <w:p w:rsidR="00A2751D" w:rsidRPr="0020563C" w:rsidRDefault="00A2751D" w:rsidP="00A2751D">
            <w:pPr>
              <w:pStyle w:val="ConsPlusNormal"/>
              <w:jc w:val="center"/>
            </w:pPr>
          </w:p>
        </w:tc>
      </w:tr>
      <w:tr w:rsidR="006C465A" w:rsidTr="005B006B">
        <w:trPr>
          <w:gridAfter w:val="7"/>
          <w:wAfter w:w="1767" w:type="dxa"/>
          <w:jc w:val="center"/>
        </w:trPr>
        <w:tc>
          <w:tcPr>
            <w:tcW w:w="4962" w:type="dxa"/>
            <w:gridSpan w:val="5"/>
            <w:vMerge/>
            <w:tcBorders>
              <w:top w:val="single" w:sz="4" w:space="0" w:color="auto"/>
              <w:bottom w:val="single" w:sz="4" w:space="0" w:color="auto"/>
              <w:right w:val="single" w:sz="4" w:space="0" w:color="auto"/>
            </w:tcBorders>
          </w:tcPr>
          <w:p w:rsidR="006C465A" w:rsidRDefault="006C465A" w:rsidP="006C465A">
            <w:pPr>
              <w:pStyle w:val="ConsPlusNormal"/>
              <w:jc w:val="cente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6C465A" w:rsidRPr="00900135" w:rsidRDefault="006C465A" w:rsidP="006C465A">
            <w:pPr>
              <w:pStyle w:val="ConsPlusNormal"/>
              <w:jc w:val="center"/>
            </w:pPr>
            <w:r w:rsidRPr="00900135">
              <w:t>1 месяц</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6C465A" w:rsidRDefault="006C465A" w:rsidP="006C465A">
            <w:pPr>
              <w:jc w:val="right"/>
              <w:rPr>
                <w:rFonts w:ascii="Calibri" w:eastAsia="Times New Roman" w:hAnsi="Calibri" w:cs="Calibri"/>
                <w:color w:val="000000"/>
              </w:rPr>
            </w:pPr>
            <w:r>
              <w:rPr>
                <w:rFonts w:ascii="Calibri" w:hAnsi="Calibri" w:cs="Calibri"/>
                <w:color w:val="000000"/>
              </w:rPr>
              <w:t>2,41%</w:t>
            </w:r>
          </w:p>
        </w:tc>
        <w:tc>
          <w:tcPr>
            <w:tcW w:w="1983" w:type="dxa"/>
            <w:gridSpan w:val="2"/>
            <w:tcBorders>
              <w:top w:val="single" w:sz="4" w:space="0" w:color="auto"/>
              <w:left w:val="nil"/>
              <w:bottom w:val="single" w:sz="4" w:space="0" w:color="auto"/>
              <w:right w:val="nil"/>
            </w:tcBorders>
            <w:shd w:val="clear" w:color="auto" w:fill="auto"/>
            <w:vAlign w:val="center"/>
          </w:tcPr>
          <w:p w:rsidR="006C465A" w:rsidRDefault="006C465A" w:rsidP="006C465A">
            <w:pPr>
              <w:jc w:val="right"/>
              <w:rPr>
                <w:rFonts w:ascii="Calibri" w:eastAsia="Times New Roman" w:hAnsi="Calibri" w:cs="Calibri"/>
                <w:color w:val="000000"/>
              </w:rPr>
            </w:pPr>
            <w:r>
              <w:rPr>
                <w:rFonts w:ascii="Calibri" w:hAnsi="Calibri" w:cs="Calibri"/>
                <w:color w:val="000000"/>
              </w:rPr>
              <w:t>2,24%</w:t>
            </w:r>
          </w:p>
        </w:tc>
        <w:tc>
          <w:tcPr>
            <w:tcW w:w="144" w:type="dxa"/>
            <w:vMerge/>
            <w:tcBorders>
              <w:top w:val="single" w:sz="4" w:space="0" w:color="auto"/>
              <w:left w:val="single" w:sz="4" w:space="0" w:color="auto"/>
            </w:tcBorders>
          </w:tcPr>
          <w:p w:rsidR="006C465A" w:rsidRPr="0020563C" w:rsidRDefault="006C465A" w:rsidP="006C465A">
            <w:pPr>
              <w:pStyle w:val="ConsPlusNormal"/>
              <w:jc w:val="center"/>
            </w:pPr>
          </w:p>
        </w:tc>
      </w:tr>
      <w:tr w:rsidR="006C465A" w:rsidTr="005B006B">
        <w:trPr>
          <w:gridAfter w:val="7"/>
          <w:wAfter w:w="1767" w:type="dxa"/>
          <w:trHeight w:val="309"/>
          <w:jc w:val="center"/>
        </w:trPr>
        <w:tc>
          <w:tcPr>
            <w:tcW w:w="4962" w:type="dxa"/>
            <w:gridSpan w:val="5"/>
            <w:vMerge/>
            <w:tcBorders>
              <w:top w:val="single" w:sz="4" w:space="0" w:color="auto"/>
              <w:bottom w:val="single" w:sz="4" w:space="0" w:color="auto"/>
              <w:right w:val="single" w:sz="4" w:space="0" w:color="auto"/>
            </w:tcBorders>
          </w:tcPr>
          <w:p w:rsidR="006C465A" w:rsidRDefault="006C465A" w:rsidP="006C465A">
            <w:pPr>
              <w:pStyle w:val="ConsPlusNormal"/>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6C465A" w:rsidRPr="00900135" w:rsidRDefault="006C465A" w:rsidP="006C465A">
            <w:pPr>
              <w:pStyle w:val="ConsPlusNormal"/>
              <w:jc w:val="center"/>
            </w:pPr>
            <w:r w:rsidRPr="00900135">
              <w:t>3 месяца</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6C465A" w:rsidRDefault="006C465A" w:rsidP="006C465A">
            <w:pPr>
              <w:jc w:val="right"/>
              <w:rPr>
                <w:rFonts w:ascii="Calibri" w:hAnsi="Calibri" w:cs="Calibri"/>
                <w:color w:val="000000"/>
              </w:rPr>
            </w:pPr>
            <w:r>
              <w:rPr>
                <w:rFonts w:ascii="Calibri" w:hAnsi="Calibri" w:cs="Calibri"/>
                <w:color w:val="000000"/>
              </w:rPr>
              <w:t>5,48%</w:t>
            </w:r>
          </w:p>
        </w:tc>
        <w:tc>
          <w:tcPr>
            <w:tcW w:w="1983" w:type="dxa"/>
            <w:gridSpan w:val="2"/>
            <w:tcBorders>
              <w:top w:val="single" w:sz="4" w:space="0" w:color="auto"/>
              <w:left w:val="nil"/>
              <w:bottom w:val="single" w:sz="4" w:space="0" w:color="auto"/>
              <w:right w:val="nil"/>
            </w:tcBorders>
            <w:shd w:val="clear" w:color="auto" w:fill="auto"/>
            <w:vAlign w:val="center"/>
          </w:tcPr>
          <w:p w:rsidR="006C465A" w:rsidRDefault="006C465A" w:rsidP="006C465A">
            <w:pPr>
              <w:jc w:val="right"/>
              <w:rPr>
                <w:rFonts w:ascii="Calibri" w:hAnsi="Calibri" w:cs="Calibri"/>
                <w:color w:val="000000"/>
              </w:rPr>
            </w:pPr>
            <w:r>
              <w:rPr>
                <w:rFonts w:ascii="Calibri" w:hAnsi="Calibri" w:cs="Calibri"/>
                <w:color w:val="000000"/>
              </w:rPr>
              <w:t>5,00%</w:t>
            </w:r>
          </w:p>
        </w:tc>
        <w:tc>
          <w:tcPr>
            <w:tcW w:w="144" w:type="dxa"/>
            <w:vMerge/>
            <w:tcBorders>
              <w:top w:val="single" w:sz="4" w:space="0" w:color="auto"/>
              <w:left w:val="single" w:sz="4" w:space="0" w:color="auto"/>
            </w:tcBorders>
          </w:tcPr>
          <w:p w:rsidR="006C465A" w:rsidRDefault="006C465A" w:rsidP="006C465A">
            <w:pPr>
              <w:pStyle w:val="ConsPlusNormal"/>
            </w:pPr>
          </w:p>
        </w:tc>
      </w:tr>
      <w:tr w:rsidR="006C465A" w:rsidTr="005B006B">
        <w:trPr>
          <w:gridAfter w:val="7"/>
          <w:wAfter w:w="1767" w:type="dxa"/>
          <w:trHeight w:val="473"/>
          <w:jc w:val="center"/>
        </w:trPr>
        <w:tc>
          <w:tcPr>
            <w:tcW w:w="4962" w:type="dxa"/>
            <w:gridSpan w:val="5"/>
            <w:vMerge/>
            <w:tcBorders>
              <w:top w:val="single" w:sz="4" w:space="0" w:color="auto"/>
              <w:bottom w:val="single" w:sz="4" w:space="0" w:color="auto"/>
              <w:right w:val="single" w:sz="4" w:space="0" w:color="auto"/>
            </w:tcBorders>
          </w:tcPr>
          <w:p w:rsidR="006C465A" w:rsidRDefault="006C465A" w:rsidP="006C465A">
            <w:pPr>
              <w:pStyle w:val="ConsPlusNormal"/>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6C465A" w:rsidRPr="00900135" w:rsidRDefault="006C465A" w:rsidP="006C465A">
            <w:pPr>
              <w:pStyle w:val="ConsPlusNormal"/>
              <w:jc w:val="center"/>
            </w:pPr>
            <w:r w:rsidRPr="00900135">
              <w:t>6 месяцев</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6C465A" w:rsidRDefault="006C465A" w:rsidP="006C465A">
            <w:pPr>
              <w:jc w:val="right"/>
              <w:rPr>
                <w:rFonts w:ascii="Calibri" w:hAnsi="Calibri" w:cs="Calibri"/>
                <w:color w:val="000000"/>
              </w:rPr>
            </w:pPr>
            <w:r>
              <w:rPr>
                <w:rFonts w:ascii="Calibri" w:hAnsi="Calibri" w:cs="Calibri"/>
                <w:color w:val="000000"/>
              </w:rPr>
              <w:t>10,42%</w:t>
            </w:r>
          </w:p>
        </w:tc>
        <w:tc>
          <w:tcPr>
            <w:tcW w:w="1983" w:type="dxa"/>
            <w:gridSpan w:val="2"/>
            <w:tcBorders>
              <w:top w:val="single" w:sz="4" w:space="0" w:color="auto"/>
              <w:left w:val="nil"/>
              <w:bottom w:val="single" w:sz="4" w:space="0" w:color="auto"/>
              <w:right w:val="nil"/>
            </w:tcBorders>
            <w:shd w:val="clear" w:color="auto" w:fill="auto"/>
            <w:vAlign w:val="center"/>
          </w:tcPr>
          <w:p w:rsidR="006C465A" w:rsidRDefault="006C465A" w:rsidP="006C465A">
            <w:pPr>
              <w:jc w:val="right"/>
              <w:rPr>
                <w:rFonts w:ascii="Calibri" w:hAnsi="Calibri" w:cs="Calibri"/>
                <w:color w:val="000000"/>
              </w:rPr>
            </w:pPr>
            <w:r>
              <w:rPr>
                <w:rFonts w:ascii="Calibri" w:hAnsi="Calibri" w:cs="Calibri"/>
                <w:color w:val="000000"/>
              </w:rPr>
              <w:t>6,95%</w:t>
            </w:r>
          </w:p>
        </w:tc>
        <w:tc>
          <w:tcPr>
            <w:tcW w:w="144" w:type="dxa"/>
            <w:vMerge/>
            <w:tcBorders>
              <w:top w:val="single" w:sz="4" w:space="0" w:color="auto"/>
              <w:left w:val="single" w:sz="4" w:space="0" w:color="auto"/>
            </w:tcBorders>
          </w:tcPr>
          <w:p w:rsidR="006C465A" w:rsidRDefault="006C465A" w:rsidP="006C465A">
            <w:pPr>
              <w:pStyle w:val="ConsPlusNormal"/>
            </w:pPr>
          </w:p>
        </w:tc>
      </w:tr>
      <w:tr w:rsidR="006C465A" w:rsidTr="005B006B">
        <w:trPr>
          <w:gridAfter w:val="7"/>
          <w:wAfter w:w="1767" w:type="dxa"/>
          <w:trHeight w:val="490"/>
          <w:jc w:val="center"/>
        </w:trPr>
        <w:tc>
          <w:tcPr>
            <w:tcW w:w="4962" w:type="dxa"/>
            <w:gridSpan w:val="5"/>
            <w:vMerge/>
            <w:tcBorders>
              <w:top w:val="single" w:sz="4" w:space="0" w:color="auto"/>
              <w:bottom w:val="single" w:sz="4" w:space="0" w:color="auto"/>
              <w:right w:val="single" w:sz="4" w:space="0" w:color="auto"/>
            </w:tcBorders>
          </w:tcPr>
          <w:p w:rsidR="006C465A" w:rsidRDefault="006C465A" w:rsidP="006C465A">
            <w:pPr>
              <w:pStyle w:val="ConsPlusNormal"/>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6C465A" w:rsidRPr="00900135" w:rsidRDefault="006C465A" w:rsidP="006C465A">
            <w:pPr>
              <w:pStyle w:val="ConsPlusNormal"/>
              <w:jc w:val="center"/>
            </w:pPr>
            <w:r w:rsidRPr="00900135">
              <w:t>1 год</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6C465A" w:rsidRDefault="006C465A" w:rsidP="006C465A">
            <w:pPr>
              <w:jc w:val="right"/>
              <w:rPr>
                <w:rFonts w:ascii="Calibri" w:hAnsi="Calibri" w:cs="Calibri"/>
                <w:color w:val="000000"/>
              </w:rPr>
            </w:pPr>
            <w:r>
              <w:rPr>
                <w:rFonts w:ascii="Calibri" w:hAnsi="Calibri" w:cs="Calibri"/>
                <w:color w:val="000000"/>
              </w:rPr>
              <w:t>21,04%</w:t>
            </w:r>
          </w:p>
        </w:tc>
        <w:tc>
          <w:tcPr>
            <w:tcW w:w="1983" w:type="dxa"/>
            <w:gridSpan w:val="2"/>
            <w:tcBorders>
              <w:top w:val="single" w:sz="4" w:space="0" w:color="auto"/>
              <w:left w:val="nil"/>
              <w:bottom w:val="single" w:sz="4" w:space="0" w:color="auto"/>
              <w:right w:val="nil"/>
            </w:tcBorders>
            <w:shd w:val="clear" w:color="auto" w:fill="auto"/>
            <w:vAlign w:val="center"/>
          </w:tcPr>
          <w:p w:rsidR="006C465A" w:rsidRDefault="006C465A" w:rsidP="006C465A">
            <w:pPr>
              <w:jc w:val="right"/>
              <w:rPr>
                <w:rFonts w:ascii="Calibri" w:hAnsi="Calibri" w:cs="Calibri"/>
                <w:color w:val="000000"/>
              </w:rPr>
            </w:pPr>
            <w:r>
              <w:rPr>
                <w:rFonts w:ascii="Calibri" w:hAnsi="Calibri" w:cs="Calibri"/>
                <w:color w:val="000000"/>
              </w:rPr>
              <w:t>15,76%</w:t>
            </w:r>
          </w:p>
        </w:tc>
        <w:tc>
          <w:tcPr>
            <w:tcW w:w="144" w:type="dxa"/>
            <w:vMerge/>
            <w:tcBorders>
              <w:top w:val="single" w:sz="4" w:space="0" w:color="auto"/>
              <w:left w:val="single" w:sz="4" w:space="0" w:color="auto"/>
            </w:tcBorders>
          </w:tcPr>
          <w:p w:rsidR="006C465A" w:rsidRDefault="006C465A" w:rsidP="006C465A">
            <w:pPr>
              <w:pStyle w:val="ConsPlusNormal"/>
            </w:pPr>
          </w:p>
        </w:tc>
      </w:tr>
      <w:tr w:rsidR="006C465A" w:rsidRPr="00EA3F32" w:rsidTr="005B006B">
        <w:trPr>
          <w:gridAfter w:val="7"/>
          <w:wAfter w:w="1767" w:type="dxa"/>
          <w:trHeight w:val="678"/>
          <w:jc w:val="center"/>
        </w:trPr>
        <w:tc>
          <w:tcPr>
            <w:tcW w:w="4962" w:type="dxa"/>
            <w:gridSpan w:val="5"/>
            <w:vMerge/>
            <w:tcBorders>
              <w:top w:val="single" w:sz="4" w:space="0" w:color="auto"/>
              <w:bottom w:val="single" w:sz="4" w:space="0" w:color="auto"/>
              <w:right w:val="single" w:sz="4" w:space="0" w:color="auto"/>
            </w:tcBorders>
          </w:tcPr>
          <w:p w:rsidR="006C465A" w:rsidRDefault="006C465A" w:rsidP="006C465A">
            <w:pPr>
              <w:pStyle w:val="ConsPlusNormal"/>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6C465A" w:rsidRPr="00900135" w:rsidRDefault="006C465A" w:rsidP="006C465A">
            <w:pPr>
              <w:pStyle w:val="ConsPlusNormal"/>
              <w:jc w:val="center"/>
            </w:pPr>
            <w:r w:rsidRPr="00900135">
              <w:t>3 года</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6C465A" w:rsidRDefault="006C465A" w:rsidP="006C465A">
            <w:pPr>
              <w:jc w:val="right"/>
              <w:rPr>
                <w:rFonts w:ascii="Calibri" w:hAnsi="Calibri" w:cs="Calibri"/>
                <w:color w:val="000000"/>
              </w:rPr>
            </w:pPr>
            <w:r>
              <w:rPr>
                <w:rFonts w:ascii="Calibri" w:hAnsi="Calibri" w:cs="Calibri"/>
                <w:color w:val="000000"/>
              </w:rPr>
              <w:t>233,82%</w:t>
            </w:r>
          </w:p>
        </w:tc>
        <w:tc>
          <w:tcPr>
            <w:tcW w:w="1983" w:type="dxa"/>
            <w:gridSpan w:val="2"/>
            <w:tcBorders>
              <w:top w:val="single" w:sz="4" w:space="0" w:color="auto"/>
              <w:left w:val="nil"/>
              <w:bottom w:val="single" w:sz="4" w:space="0" w:color="auto"/>
              <w:right w:val="nil"/>
            </w:tcBorders>
            <w:shd w:val="clear" w:color="auto" w:fill="auto"/>
            <w:vAlign w:val="center"/>
          </w:tcPr>
          <w:p w:rsidR="006C465A" w:rsidRDefault="006C465A" w:rsidP="006C465A">
            <w:pPr>
              <w:jc w:val="right"/>
              <w:rPr>
                <w:rFonts w:ascii="Calibri" w:hAnsi="Calibri" w:cs="Calibri"/>
                <w:color w:val="000000"/>
              </w:rPr>
            </w:pPr>
            <w:r>
              <w:rPr>
                <w:rFonts w:ascii="Calibri" w:hAnsi="Calibri" w:cs="Calibri"/>
                <w:color w:val="000000"/>
              </w:rPr>
              <w:t>208,82%</w:t>
            </w:r>
          </w:p>
        </w:tc>
        <w:tc>
          <w:tcPr>
            <w:tcW w:w="144" w:type="dxa"/>
            <w:vMerge/>
            <w:tcBorders>
              <w:top w:val="single" w:sz="4" w:space="0" w:color="auto"/>
              <w:left w:val="single" w:sz="4" w:space="0" w:color="auto"/>
            </w:tcBorders>
          </w:tcPr>
          <w:p w:rsidR="006C465A" w:rsidRDefault="006C465A" w:rsidP="006C465A">
            <w:pPr>
              <w:pStyle w:val="ConsPlusNormal"/>
            </w:pPr>
          </w:p>
        </w:tc>
      </w:tr>
      <w:tr w:rsidR="006C465A" w:rsidTr="005B006B">
        <w:trPr>
          <w:gridAfter w:val="7"/>
          <w:wAfter w:w="1767" w:type="dxa"/>
          <w:jc w:val="center"/>
        </w:trPr>
        <w:tc>
          <w:tcPr>
            <w:tcW w:w="4962" w:type="dxa"/>
            <w:gridSpan w:val="5"/>
            <w:tcBorders>
              <w:top w:val="single" w:sz="4" w:space="0" w:color="auto"/>
              <w:right w:val="single" w:sz="4" w:space="0" w:color="auto"/>
            </w:tcBorders>
          </w:tcPr>
          <w:p w:rsidR="006C465A" w:rsidRDefault="006C465A" w:rsidP="006C465A">
            <w:pPr>
              <w:pStyle w:val="ConsPlusNormal"/>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6C465A" w:rsidRPr="00900135" w:rsidRDefault="006C465A" w:rsidP="006C465A">
            <w:pPr>
              <w:pStyle w:val="ConsPlusNormal"/>
              <w:jc w:val="center"/>
            </w:pPr>
            <w:r w:rsidRPr="00900135">
              <w:t>5 лет</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6C465A" w:rsidRDefault="006C465A" w:rsidP="006C465A">
            <w:pPr>
              <w:jc w:val="right"/>
              <w:rPr>
                <w:rFonts w:ascii="Calibri" w:hAnsi="Calibri" w:cs="Calibri"/>
                <w:color w:val="000000"/>
              </w:rPr>
            </w:pPr>
            <w:r>
              <w:rPr>
                <w:rFonts w:ascii="Calibri" w:hAnsi="Calibri" w:cs="Calibri"/>
                <w:color w:val="000000"/>
              </w:rPr>
              <w:t>254,93%</w:t>
            </w:r>
          </w:p>
        </w:tc>
        <w:tc>
          <w:tcPr>
            <w:tcW w:w="1983" w:type="dxa"/>
            <w:gridSpan w:val="2"/>
            <w:tcBorders>
              <w:top w:val="single" w:sz="4" w:space="0" w:color="auto"/>
              <w:left w:val="nil"/>
              <w:bottom w:val="single" w:sz="4" w:space="0" w:color="auto"/>
              <w:right w:val="nil"/>
            </w:tcBorders>
            <w:shd w:val="clear" w:color="auto" w:fill="auto"/>
            <w:vAlign w:val="center"/>
          </w:tcPr>
          <w:p w:rsidR="006C465A" w:rsidRDefault="006C465A" w:rsidP="006C465A">
            <w:pPr>
              <w:jc w:val="right"/>
              <w:rPr>
                <w:rFonts w:ascii="Calibri" w:hAnsi="Calibri" w:cs="Calibri"/>
                <w:color w:val="000000"/>
              </w:rPr>
            </w:pPr>
            <w:r>
              <w:rPr>
                <w:rFonts w:ascii="Calibri" w:hAnsi="Calibri" w:cs="Calibri"/>
                <w:color w:val="000000"/>
              </w:rPr>
              <w:t>205,35%</w:t>
            </w:r>
          </w:p>
        </w:tc>
        <w:tc>
          <w:tcPr>
            <w:tcW w:w="144" w:type="dxa"/>
            <w:vMerge/>
            <w:tcBorders>
              <w:top w:val="single" w:sz="4" w:space="0" w:color="auto"/>
              <w:left w:val="single" w:sz="4" w:space="0" w:color="auto"/>
            </w:tcBorders>
          </w:tcPr>
          <w:p w:rsidR="006C465A" w:rsidRDefault="006C465A" w:rsidP="006C465A">
            <w:pPr>
              <w:pStyle w:val="ConsPlusNormal"/>
            </w:pPr>
          </w:p>
        </w:tc>
      </w:tr>
      <w:tr w:rsidR="00A2751D" w:rsidTr="00CA6757">
        <w:trPr>
          <w:gridAfter w:val="4"/>
          <w:wAfter w:w="1366" w:type="dxa"/>
          <w:jc w:val="center"/>
        </w:trPr>
        <w:tc>
          <w:tcPr>
            <w:tcW w:w="4962" w:type="dxa"/>
            <w:gridSpan w:val="5"/>
            <w:tcBorders>
              <w:bottom w:val="single" w:sz="4" w:space="0" w:color="auto"/>
            </w:tcBorders>
          </w:tcPr>
          <w:p w:rsidR="002C760F" w:rsidRPr="003E5838" w:rsidRDefault="00A2751D" w:rsidP="008B4EA7">
            <w:pPr>
              <w:pStyle w:val="ConsPlusNormal"/>
              <w:jc w:val="both"/>
              <w:rPr>
                <w:rFonts w:asciiTheme="minorHAnsi" w:hAnsiTheme="minorHAnsi"/>
                <w:b/>
                <w:sz w:val="22"/>
                <w:szCs w:val="22"/>
              </w:rPr>
            </w:pPr>
            <w:r>
              <w:t>1. Расчетная стоимость инвестиционного пая</w:t>
            </w:r>
            <w:r w:rsidR="00173178">
              <w:t xml:space="preserve">   </w:t>
            </w:r>
            <w:r>
              <w:t xml:space="preserve"> </w:t>
            </w:r>
          </w:p>
          <w:p w:rsidR="00A2751D" w:rsidRPr="002C760F" w:rsidRDefault="00B172B6" w:rsidP="002C760F">
            <w:pPr>
              <w:jc w:val="both"/>
              <w:rPr>
                <w:rFonts w:ascii="Times New Roman" w:eastAsia="Times New Roman" w:hAnsi="Times New Roman"/>
                <w:sz w:val="16"/>
                <w:szCs w:val="16"/>
              </w:rPr>
            </w:pPr>
            <w:r w:rsidRPr="00B172B6">
              <w:rPr>
                <w:rFonts w:ascii="Times New Roman" w:hAnsi="Times New Roman"/>
                <w:b/>
              </w:rPr>
              <w:t>2 767 130,43</w:t>
            </w:r>
            <w:r>
              <w:rPr>
                <w:rFonts w:ascii="Times New Roman" w:hAnsi="Times New Roman"/>
                <w:b/>
              </w:rPr>
              <w:t xml:space="preserve"> </w:t>
            </w:r>
            <w:r w:rsidR="001051E8" w:rsidRPr="002C760F">
              <w:rPr>
                <w:rFonts w:ascii="Times New Roman" w:hAnsi="Times New Roman"/>
                <w:b/>
              </w:rPr>
              <w:t>руб.</w:t>
            </w:r>
          </w:p>
        </w:tc>
        <w:tc>
          <w:tcPr>
            <w:tcW w:w="144" w:type="dxa"/>
            <w:tcBorders>
              <w:top w:val="single" w:sz="4" w:space="0" w:color="auto"/>
              <w:bottom w:val="single" w:sz="4" w:space="0" w:color="auto"/>
            </w:tcBorders>
          </w:tcPr>
          <w:p w:rsidR="00A2751D" w:rsidRDefault="00A2751D" w:rsidP="00A2751D">
            <w:pPr>
              <w:pStyle w:val="ConsPlusNormal"/>
            </w:pPr>
          </w:p>
        </w:tc>
        <w:tc>
          <w:tcPr>
            <w:tcW w:w="4368" w:type="dxa"/>
            <w:gridSpan w:val="9"/>
            <w:tcBorders>
              <w:bottom w:val="single" w:sz="4" w:space="0" w:color="auto"/>
            </w:tcBorders>
          </w:tcPr>
          <w:p w:rsidR="002C760F" w:rsidRPr="003E5838" w:rsidRDefault="00A2751D" w:rsidP="00510D09">
            <w:pPr>
              <w:pStyle w:val="ConsPlusNormal"/>
              <w:jc w:val="both"/>
              <w:rPr>
                <w:b/>
              </w:rPr>
            </w:pPr>
            <w:r>
              <w:t xml:space="preserve">2. Стоимость  чистых  </w:t>
            </w:r>
            <w:r w:rsidRPr="009D2C3A">
              <w:t xml:space="preserve"> </w:t>
            </w:r>
            <w:r>
              <w:t xml:space="preserve">активов  паевого </w:t>
            </w:r>
            <w:r w:rsidRPr="009D2C3A">
              <w:t xml:space="preserve">  </w:t>
            </w:r>
            <w:r w:rsidR="001051E8">
              <w:t xml:space="preserve">инвестиционного </w:t>
            </w:r>
            <w:r w:rsidR="00616EC6">
              <w:t xml:space="preserve">фонда </w:t>
            </w:r>
            <w:r w:rsidRPr="009D2C3A">
              <w:t xml:space="preserve"> </w:t>
            </w:r>
            <w:r w:rsidR="001051E8">
              <w:t xml:space="preserve"> </w:t>
            </w:r>
          </w:p>
          <w:p w:rsidR="00A2751D" w:rsidRPr="002C760F" w:rsidRDefault="00B172B6" w:rsidP="002C760F">
            <w:pPr>
              <w:jc w:val="both"/>
              <w:rPr>
                <w:rFonts w:ascii="Times New Roman" w:eastAsia="Times New Roman" w:hAnsi="Times New Roman"/>
                <w:sz w:val="16"/>
                <w:szCs w:val="16"/>
              </w:rPr>
            </w:pPr>
            <w:r w:rsidRPr="00B172B6">
              <w:rPr>
                <w:rFonts w:ascii="Times New Roman" w:hAnsi="Times New Roman"/>
                <w:b/>
              </w:rPr>
              <w:t>276 713 042,83</w:t>
            </w:r>
            <w:r>
              <w:rPr>
                <w:rFonts w:ascii="Times New Roman" w:hAnsi="Times New Roman"/>
                <w:b/>
              </w:rPr>
              <w:t xml:space="preserve"> </w:t>
            </w:r>
            <w:r w:rsidR="00A2751D" w:rsidRPr="002C760F">
              <w:rPr>
                <w:rFonts w:ascii="Times New Roman" w:hAnsi="Times New Roman"/>
                <w:b/>
              </w:rPr>
              <w:t>руб.</w:t>
            </w:r>
          </w:p>
          <w:p w:rsidR="00A2751D" w:rsidRDefault="00A2751D" w:rsidP="00E20E6D">
            <w:pPr>
              <w:pStyle w:val="ConsPlusNormal"/>
              <w:jc w:val="both"/>
            </w:pPr>
            <w:r>
              <w:t xml:space="preserve">3. </w:t>
            </w:r>
            <w:r w:rsidRPr="00E87AEC">
              <w:t>Доход по инвестиционным паям выплачивается владельцам инвестицио</w:t>
            </w:r>
            <w:r>
              <w:t>нных паев каждый календарный квартал</w:t>
            </w:r>
            <w:r w:rsidRPr="00E87AEC">
              <w:t>. Выплата дохода по инвестиционным паям осуществляется исходя из количества инвестиционных паев, принадлежащих владельцу инвестиционных паев на дату составления списка лиц, имеющих право на получение дохода по инвестиционным паям. Список лиц, имеющих право на получение дохода по инвестиционным паям,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инвестиционным паям осу</w:t>
            </w:r>
            <w:r w:rsidR="00E20E6D">
              <w:t>ществляется в срок не позднее 720 (Семьсот двадцать</w:t>
            </w:r>
            <w:r w:rsidRPr="00E87AEC">
              <w:t xml:space="preserve">) дней с даты окончания отчетного </w:t>
            </w:r>
            <w:r w:rsidRPr="00E87AEC">
              <w:lastRenderedPageBreak/>
              <w:t>периода.</w:t>
            </w:r>
            <w:r>
              <w:t xml:space="preserve"> </w:t>
            </w:r>
            <w:r w:rsidRPr="002217B5">
              <w:t>Выплата дохода по инвестиционному паю осуществляется путем его перечисления на банковский счет, реквизиты которого указаны в реестре владельцев инвестиционных паев.</w:t>
            </w:r>
          </w:p>
        </w:tc>
      </w:tr>
      <w:tr w:rsidR="00A2751D" w:rsidTr="00CA6757">
        <w:trPr>
          <w:gridAfter w:val="7"/>
          <w:wAfter w:w="1767" w:type="dxa"/>
          <w:jc w:val="center"/>
        </w:trPr>
        <w:tc>
          <w:tcPr>
            <w:tcW w:w="9073" w:type="dxa"/>
            <w:gridSpan w:val="12"/>
            <w:tcBorders>
              <w:top w:val="single" w:sz="4" w:space="0" w:color="auto"/>
            </w:tcBorders>
          </w:tcPr>
          <w:p w:rsidR="00A2751D" w:rsidRDefault="00A2751D" w:rsidP="00A2751D">
            <w:pPr>
              <w:pStyle w:val="ConsPlusNormal"/>
              <w:jc w:val="both"/>
              <w:outlineLvl w:val="0"/>
            </w:pPr>
            <w:r>
              <w:lastRenderedPageBreak/>
              <w:t>Раздел 6. Комиссии</w:t>
            </w:r>
          </w:p>
        </w:tc>
      </w:tr>
      <w:tr w:rsidR="00A2751D" w:rsidTr="00CA6757">
        <w:trPr>
          <w:gridAfter w:val="13"/>
          <w:wAfter w:w="5734" w:type="dxa"/>
          <w:jc w:val="center"/>
        </w:trPr>
        <w:tc>
          <w:tcPr>
            <w:tcW w:w="4962" w:type="dxa"/>
            <w:gridSpan w:val="5"/>
            <w:tcBorders>
              <w:bottom w:val="single" w:sz="4" w:space="0" w:color="auto"/>
            </w:tcBorders>
          </w:tcPr>
          <w:p w:rsidR="00A2751D" w:rsidRDefault="00A2751D" w:rsidP="00A2751D">
            <w:pPr>
              <w:pStyle w:val="ConsPlusNormal"/>
              <w:jc w:val="right"/>
            </w:pPr>
            <w:r>
              <w:t>Комиссии, оплачиваемые каждый год</w:t>
            </w:r>
          </w:p>
        </w:tc>
        <w:tc>
          <w:tcPr>
            <w:tcW w:w="144" w:type="dxa"/>
          </w:tcPr>
          <w:p w:rsidR="00A2751D" w:rsidRDefault="00A2751D" w:rsidP="00A2751D">
            <w:pPr>
              <w:pStyle w:val="ConsPlusNormal"/>
            </w:pPr>
          </w:p>
        </w:tc>
      </w:tr>
      <w:tr w:rsidR="00A2751D" w:rsidRPr="003567F6" w:rsidTr="00CA6757">
        <w:trPr>
          <w:gridAfter w:val="15"/>
          <w:wAfter w:w="6135" w:type="dxa"/>
          <w:jc w:val="center"/>
        </w:trPr>
        <w:tc>
          <w:tcPr>
            <w:tcW w:w="340" w:type="dxa"/>
          </w:tcPr>
          <w:p w:rsidR="00A2751D" w:rsidRDefault="00A2751D" w:rsidP="00A2751D">
            <w:pPr>
              <w:pStyle w:val="ConsPlusNormal"/>
            </w:pPr>
          </w:p>
        </w:tc>
        <w:tc>
          <w:tcPr>
            <w:tcW w:w="3345"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t>вознаграждения и расходы, подлежащие оплате за счет активов паевого инвестиционного фонда</w:t>
            </w:r>
          </w:p>
        </w:tc>
        <w:tc>
          <w:tcPr>
            <w:tcW w:w="1020" w:type="dxa"/>
            <w:tcBorders>
              <w:top w:val="single" w:sz="4" w:space="0" w:color="auto"/>
              <w:left w:val="single" w:sz="4" w:space="0" w:color="auto"/>
              <w:bottom w:val="single" w:sz="4" w:space="0" w:color="auto"/>
              <w:right w:val="single" w:sz="4" w:space="0" w:color="auto"/>
            </w:tcBorders>
            <w:vAlign w:val="center"/>
          </w:tcPr>
          <w:p w:rsidR="00A2751D" w:rsidRPr="00BE2A5E" w:rsidRDefault="00A2751D" w:rsidP="00A2751D">
            <w:pPr>
              <w:pStyle w:val="ConsPlusNormal"/>
              <w:jc w:val="both"/>
              <w:rPr>
                <w:sz w:val="20"/>
                <w:szCs w:val="20"/>
              </w:rPr>
            </w:pPr>
            <w:r w:rsidRPr="00BE2A5E">
              <w:rPr>
                <w:sz w:val="20"/>
                <w:szCs w:val="20"/>
              </w:rPr>
              <w:t>До</w:t>
            </w:r>
            <w:r>
              <w:rPr>
                <w:sz w:val="20"/>
                <w:szCs w:val="20"/>
                <w:lang w:val="en-US"/>
              </w:rPr>
              <w:t xml:space="preserve"> </w:t>
            </w:r>
            <w:r w:rsidRPr="00BE2A5E">
              <w:rPr>
                <w:sz w:val="20"/>
                <w:szCs w:val="20"/>
              </w:rPr>
              <w:t>10</w:t>
            </w:r>
            <w:r>
              <w:rPr>
                <w:sz w:val="20"/>
                <w:szCs w:val="20"/>
              </w:rPr>
              <w:t>,00</w:t>
            </w:r>
            <w:r w:rsidRPr="00BE2A5E">
              <w:rPr>
                <w:sz w:val="20"/>
                <w:szCs w:val="20"/>
              </w:rPr>
              <w:t>%</w:t>
            </w:r>
          </w:p>
        </w:tc>
      </w:tr>
      <w:tr w:rsidR="00A2751D" w:rsidRPr="004E3EE7" w:rsidTr="00CA6757">
        <w:trPr>
          <w:gridAfter w:val="15"/>
          <w:wAfter w:w="6135" w:type="dxa"/>
          <w:jc w:val="center"/>
        </w:trPr>
        <w:tc>
          <w:tcPr>
            <w:tcW w:w="340" w:type="dxa"/>
          </w:tcPr>
          <w:p w:rsidR="00A2751D" w:rsidRDefault="00A2751D" w:rsidP="00A2751D">
            <w:pPr>
              <w:pStyle w:val="ConsPlusNormal"/>
            </w:pPr>
          </w:p>
        </w:tc>
        <w:tc>
          <w:tcPr>
            <w:tcW w:w="3345"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rsidRPr="00531E5E">
              <w:rPr>
                <w:color w:val="000000"/>
              </w:rPr>
              <w:t>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w:t>
            </w:r>
            <w:r w:rsidRPr="00531E5E">
              <w:t xml:space="preserve"> </w:t>
            </w:r>
          </w:p>
        </w:tc>
        <w:tc>
          <w:tcPr>
            <w:tcW w:w="1020" w:type="dxa"/>
            <w:tcBorders>
              <w:top w:val="single" w:sz="4" w:space="0" w:color="auto"/>
              <w:left w:val="single" w:sz="4" w:space="0" w:color="auto"/>
              <w:bottom w:val="single" w:sz="4" w:space="0" w:color="auto"/>
              <w:right w:val="single" w:sz="4" w:space="0" w:color="auto"/>
            </w:tcBorders>
            <w:vAlign w:val="center"/>
          </w:tcPr>
          <w:p w:rsidR="00A2751D" w:rsidRPr="004E3EE7" w:rsidRDefault="00A2751D" w:rsidP="00A2751D">
            <w:pPr>
              <w:pStyle w:val="ConsPlusNormal"/>
              <w:jc w:val="both"/>
              <w:rPr>
                <w:sz w:val="20"/>
                <w:szCs w:val="20"/>
              </w:rPr>
            </w:pPr>
            <w:r>
              <w:rPr>
                <w:sz w:val="20"/>
                <w:szCs w:val="20"/>
                <w:lang w:val="en-US"/>
              </w:rPr>
              <w:t>50</w:t>
            </w:r>
            <w:r>
              <w:rPr>
                <w:sz w:val="20"/>
                <w:szCs w:val="20"/>
              </w:rPr>
              <w:t>,00%</w:t>
            </w:r>
          </w:p>
        </w:tc>
      </w:tr>
      <w:tr w:rsidR="00A2751D" w:rsidTr="00CA6757">
        <w:trPr>
          <w:gridAfter w:val="7"/>
          <w:wAfter w:w="1767" w:type="dxa"/>
          <w:jc w:val="center"/>
        </w:trPr>
        <w:tc>
          <w:tcPr>
            <w:tcW w:w="9073" w:type="dxa"/>
            <w:gridSpan w:val="12"/>
            <w:tcBorders>
              <w:bottom w:val="single" w:sz="4" w:space="0" w:color="auto"/>
            </w:tcBorders>
          </w:tcPr>
          <w:p w:rsidR="00A2751D" w:rsidRDefault="00A2751D" w:rsidP="00A2751D">
            <w:pPr>
              <w:pStyle w:val="ConsPlusNormal"/>
            </w:pPr>
            <w:r>
              <w:t>Размер комиссий указан в процентах от стоимости чистых активов паевого инвестиционного фонда.</w:t>
            </w:r>
          </w:p>
          <w:p w:rsidR="00A2751D" w:rsidRDefault="00A2751D" w:rsidP="00A2751D">
            <w:pPr>
              <w:pStyle w:val="ConsPlusNormal"/>
            </w:pPr>
            <w:r>
              <w:t>Подробные условия указаны в правилах доверительного управления паевым инвестиционным фондом</w:t>
            </w:r>
          </w:p>
        </w:tc>
      </w:tr>
      <w:tr w:rsidR="00A2751D" w:rsidTr="00CA6757">
        <w:trPr>
          <w:gridAfter w:val="7"/>
          <w:wAfter w:w="1767" w:type="dxa"/>
          <w:jc w:val="center"/>
        </w:trPr>
        <w:tc>
          <w:tcPr>
            <w:tcW w:w="9073" w:type="dxa"/>
            <w:gridSpan w:val="12"/>
            <w:tcBorders>
              <w:top w:val="single" w:sz="4" w:space="0" w:color="auto"/>
              <w:bottom w:val="single" w:sz="4" w:space="0" w:color="auto"/>
            </w:tcBorders>
          </w:tcPr>
          <w:p w:rsidR="00A2751D" w:rsidRDefault="00A2751D" w:rsidP="00A2751D">
            <w:pPr>
              <w:pStyle w:val="ConsPlusNormal"/>
              <w:jc w:val="both"/>
              <w:outlineLvl w:val="0"/>
            </w:pPr>
            <w:r>
              <w:t>Раздел 7. Иная информация</w:t>
            </w:r>
          </w:p>
        </w:tc>
      </w:tr>
      <w:tr w:rsidR="00A2751D" w:rsidTr="00CA6757">
        <w:trPr>
          <w:gridAfter w:val="4"/>
          <w:wAfter w:w="1366" w:type="dxa"/>
          <w:jc w:val="center"/>
        </w:trPr>
        <w:tc>
          <w:tcPr>
            <w:tcW w:w="4962" w:type="dxa"/>
            <w:gridSpan w:val="5"/>
            <w:tcBorders>
              <w:top w:val="single" w:sz="4" w:space="0" w:color="auto"/>
            </w:tcBorders>
          </w:tcPr>
          <w:p w:rsidR="00A2751D" w:rsidRPr="004B5444" w:rsidRDefault="00A2751D" w:rsidP="00A2751D">
            <w:pPr>
              <w:spacing w:line="240" w:lineRule="auto"/>
              <w:jc w:val="both"/>
              <w:rPr>
                <w:rFonts w:ascii="Times New Roman" w:hAnsi="Times New Roman"/>
                <w:sz w:val="24"/>
                <w:szCs w:val="24"/>
              </w:rPr>
            </w:pPr>
            <w:r w:rsidRPr="00D524E8">
              <w:rPr>
                <w:rFonts w:ascii="Times New Roman" w:hAnsi="Times New Roman"/>
                <w:sz w:val="24"/>
                <w:szCs w:val="24"/>
              </w:rPr>
              <w:t xml:space="preserve">1. </w:t>
            </w:r>
            <w:r>
              <w:rPr>
                <w:rFonts w:ascii="Times New Roman" w:hAnsi="Times New Roman"/>
                <w:sz w:val="24"/>
                <w:szCs w:val="24"/>
              </w:rPr>
              <w:t xml:space="preserve"> </w:t>
            </w:r>
            <w:r w:rsidRPr="00A02BC1">
              <w:rPr>
                <w:rFonts w:ascii="Times New Roman" w:hAnsi="Times New Roman"/>
                <w:sz w:val="24"/>
                <w:szCs w:val="24"/>
              </w:rPr>
              <w:t>Мин</w:t>
            </w:r>
            <w:r>
              <w:rPr>
                <w:rFonts w:ascii="Times New Roman" w:hAnsi="Times New Roman"/>
                <w:sz w:val="24"/>
                <w:szCs w:val="24"/>
              </w:rPr>
              <w:t>имальная сумма денежных средств (и) или иного имущества,</w:t>
            </w:r>
            <w:r w:rsidRPr="00A02BC1">
              <w:rPr>
                <w:rFonts w:ascii="Times New Roman" w:hAnsi="Times New Roman"/>
                <w:sz w:val="24"/>
                <w:szCs w:val="24"/>
              </w:rPr>
              <w:t xml:space="preserve"> которая может быть передана в оплату инвестиционных паев</w:t>
            </w:r>
            <w:r>
              <w:rPr>
                <w:rFonts w:ascii="Times New Roman" w:hAnsi="Times New Roman"/>
                <w:sz w:val="24"/>
                <w:szCs w:val="24"/>
              </w:rPr>
              <w:t xml:space="preserve"> должна быть не менее 10 000 000 (Десяти миллионов) рублей.</w:t>
            </w:r>
          </w:p>
          <w:p w:rsidR="00A2751D" w:rsidRDefault="00A2751D" w:rsidP="00A2751D">
            <w:pPr>
              <w:pStyle w:val="ConsPlusNormal"/>
              <w:jc w:val="both"/>
            </w:pPr>
            <w:r>
              <w:t>2.  Правилами доверительного управления закрытым паевым инвестиционным фондом не предусмотрена возможность обмена инвестиционных паев.</w:t>
            </w:r>
          </w:p>
          <w:p w:rsidR="00A2751D" w:rsidRDefault="00A2751D" w:rsidP="00A2751D">
            <w:pPr>
              <w:pStyle w:val="ConsPlusNormal"/>
              <w:jc w:val="both"/>
            </w:pPr>
            <w:r>
              <w:t xml:space="preserve">3.  Правила доверительного управления паевым инвестиционным фондом зарегистрированы 11.08.2009 г. </w:t>
            </w:r>
          </w:p>
          <w:p w:rsidR="00A2751D" w:rsidRDefault="00A2751D" w:rsidP="00A2751D">
            <w:pPr>
              <w:pStyle w:val="ConsPlusNormal"/>
              <w:jc w:val="both"/>
            </w:pPr>
            <w:r>
              <w:t>N 1513-94110829.</w:t>
            </w:r>
          </w:p>
          <w:p w:rsidR="00A2751D" w:rsidRDefault="00A2751D" w:rsidP="00A2751D">
            <w:pPr>
              <w:pStyle w:val="ConsPlusNormal"/>
              <w:jc w:val="both"/>
            </w:pPr>
            <w:r>
              <w:t>4. Паевой инвестиционный фонд сформирован 10.11.2009 г.</w:t>
            </w:r>
          </w:p>
          <w:p w:rsidR="00A2751D" w:rsidRDefault="00A2751D" w:rsidP="00A2751D">
            <w:pPr>
              <w:pStyle w:val="ConsPlusNormal"/>
              <w:jc w:val="both"/>
            </w:pPr>
            <w:r>
              <w:t xml:space="preserve">5.  Информацию, подлежащую раскрытию и предоставлению, можно получить на сайте </w:t>
            </w:r>
            <w:hyperlink w:history="1">
              <w:r w:rsidRPr="0070233C">
                <w:t>www.progress-finance.ru, а</w:t>
              </w:r>
            </w:hyperlink>
            <w:r>
              <w:t xml:space="preserve"> также по адресу </w:t>
            </w:r>
            <w:r>
              <w:lastRenderedPageBreak/>
              <w:t>управляющей компании.</w:t>
            </w:r>
          </w:p>
          <w:p w:rsidR="00A2751D" w:rsidRPr="00D524E8" w:rsidRDefault="00A2751D" w:rsidP="00A2751D">
            <w:pPr>
              <w:pStyle w:val="ConsPlusNormal"/>
              <w:jc w:val="both"/>
            </w:pPr>
            <w:r>
              <w:t>6</w:t>
            </w:r>
            <w:r w:rsidRPr="003567F6">
              <w:t>.</w:t>
            </w:r>
            <w:r>
              <w:t xml:space="preserve"> </w:t>
            </w:r>
            <w:r w:rsidRPr="00D524E8">
              <w:t>Общество с ограниченной ответственностью "Управляющая компания "Прогресс-Финанс", лицензия</w:t>
            </w:r>
          </w:p>
          <w:p w:rsidR="00A2751D" w:rsidRPr="003567F6" w:rsidRDefault="00A2751D" w:rsidP="00A2751D">
            <w:pPr>
              <w:pStyle w:val="ConsPlusNormal"/>
              <w:jc w:val="both"/>
            </w:pPr>
            <w:r w:rsidRPr="00D524E8">
              <w:t xml:space="preserve"> </w:t>
            </w:r>
            <w:hyperlink r:id="rId8" w:history="1">
              <w:r w:rsidRPr="003567F6">
                <w:t xml:space="preserve"> №21-000-1-00814</w:t>
              </w:r>
            </w:hyperlink>
            <w:r w:rsidRPr="003567F6">
              <w:t xml:space="preserve"> от 09.06.2011</w:t>
            </w:r>
            <w:r>
              <w:t xml:space="preserve">,сайт </w:t>
            </w:r>
            <w:hyperlink r:id="rId9" w:history="1">
              <w:r w:rsidRPr="0070233C">
                <w:t>www.progress-finance.ru/</w:t>
              </w:r>
            </w:hyperlink>
            <w:r w:rsidRPr="00D524E8">
              <w:t>,тел. +7 (495)502-94-21,адрес</w:t>
            </w:r>
            <w:r w:rsidRPr="003567F6">
              <w:t>:</w:t>
            </w:r>
            <w:r>
              <w:t xml:space="preserve"> </w:t>
            </w:r>
            <w:r w:rsidRPr="003567F6">
              <w:t> 105082, г. Москва, ул. Бакунинская, д. 71, стр. 10, этаж 7, комната 1.</w:t>
            </w:r>
          </w:p>
          <w:p w:rsidR="00A2751D" w:rsidRDefault="00A2751D" w:rsidP="00A2751D">
            <w:pPr>
              <w:pStyle w:val="ConsPlusNormal"/>
              <w:jc w:val="both"/>
            </w:pPr>
            <w:r>
              <w:t>7</w:t>
            </w:r>
            <w:r w:rsidRPr="003567F6">
              <w:t xml:space="preserve">. </w:t>
            </w:r>
            <w:r>
              <w:t xml:space="preserve">   Специализированный депозитарий </w:t>
            </w:r>
            <w:r w:rsidRPr="003567F6">
              <w:t>АО «Специализированный депозитарий «ИНФИНИТУМ»,</w:t>
            </w:r>
            <w:r>
              <w:t xml:space="preserve"> </w:t>
            </w:r>
            <w:r w:rsidRPr="003567F6">
              <w:t xml:space="preserve">сайт </w:t>
            </w:r>
            <w:hyperlink r:id="rId10" w:history="1">
              <w:r w:rsidRPr="00D524E8">
                <w:t>www.specdep.ru</w:t>
              </w:r>
            </w:hyperlink>
            <w:r w:rsidRPr="00340A2A">
              <w:t>.</w:t>
            </w:r>
          </w:p>
          <w:p w:rsidR="00A2751D" w:rsidRDefault="00A2751D" w:rsidP="00A2751D">
            <w:pPr>
              <w:pStyle w:val="ConsPlusNormal"/>
              <w:jc w:val="both"/>
            </w:pPr>
            <w:r>
              <w:t>8</w:t>
            </w:r>
            <w:r w:rsidRPr="00340A2A">
              <w:t>.</w:t>
            </w:r>
            <w:r w:rsidRPr="003567F6">
              <w:t xml:space="preserve"> </w:t>
            </w:r>
            <w:r>
              <w:t xml:space="preserve">Лицо, осуществляющее ведение реестра владельцев инвестиционных  паев </w:t>
            </w:r>
            <w:r w:rsidRPr="003567F6">
              <w:t>АО «Специализированный депозитарий «ИНФИНИТУМ»,</w:t>
            </w:r>
            <w:r>
              <w:t xml:space="preserve"> </w:t>
            </w:r>
            <w:r w:rsidRPr="003567F6">
              <w:t xml:space="preserve">сайт </w:t>
            </w:r>
            <w:hyperlink r:id="rId11" w:history="1">
              <w:r w:rsidRPr="00D524E8">
                <w:t>www.specdep.ru</w:t>
              </w:r>
            </w:hyperlink>
            <w:r w:rsidRPr="00063F38">
              <w:t>.</w:t>
            </w:r>
          </w:p>
          <w:p w:rsidR="00A2751D" w:rsidRDefault="00A2751D" w:rsidP="00A2751D">
            <w:pPr>
              <w:pStyle w:val="ConsPlusNormal"/>
              <w:jc w:val="both"/>
            </w:pPr>
            <w:r>
              <w:t>9.   Надзор и контроль за деятельностью управляющей компании паевого фонда в соответствии с подпунктом 10 пункта 2 статьи 55 Федерального законе «Об инвестиционных фондах» осуществляет Банк России,</w:t>
            </w:r>
            <w:r w:rsidRPr="00340A2A">
              <w:t xml:space="preserve"> </w:t>
            </w:r>
            <w:r>
              <w:t xml:space="preserve">сайт </w:t>
            </w:r>
            <w:hyperlink r:id="rId12" w:history="1">
              <w:r w:rsidRPr="00D524E8">
                <w:t>www.cbr.ru.,номер</w:t>
              </w:r>
            </w:hyperlink>
            <w:r>
              <w:t xml:space="preserve"> телефона </w:t>
            </w:r>
            <w:r w:rsidRPr="00340A2A">
              <w:t>8(800)330-30-00.</w:t>
            </w:r>
          </w:p>
          <w:p w:rsidR="00A2751D" w:rsidRDefault="00A2751D" w:rsidP="00A2751D">
            <w:pPr>
              <w:pStyle w:val="ConsPlusNormal"/>
              <w:jc w:val="both"/>
            </w:pPr>
          </w:p>
          <w:p w:rsidR="00A2751D" w:rsidRPr="00340A2A" w:rsidRDefault="00A2751D" w:rsidP="00A2751D">
            <w:pPr>
              <w:pStyle w:val="ConsPlusNormal"/>
              <w:jc w:val="both"/>
            </w:pPr>
          </w:p>
        </w:tc>
        <w:tc>
          <w:tcPr>
            <w:tcW w:w="144" w:type="dxa"/>
            <w:tcBorders>
              <w:top w:val="single" w:sz="4" w:space="0" w:color="auto"/>
            </w:tcBorders>
          </w:tcPr>
          <w:p w:rsidR="00A2751D" w:rsidRDefault="00A2751D" w:rsidP="00A2751D">
            <w:pPr>
              <w:pStyle w:val="ConsPlusNormal"/>
            </w:pPr>
          </w:p>
        </w:tc>
        <w:tc>
          <w:tcPr>
            <w:tcW w:w="4368" w:type="dxa"/>
            <w:gridSpan w:val="9"/>
            <w:tcBorders>
              <w:top w:val="single" w:sz="4" w:space="0" w:color="auto"/>
            </w:tcBorders>
          </w:tcPr>
          <w:p w:rsidR="00A2751D" w:rsidRDefault="00A2751D" w:rsidP="00A2751D">
            <w:pPr>
              <w:pStyle w:val="ConsPlusNormal"/>
              <w:jc w:val="both"/>
            </w:pPr>
          </w:p>
        </w:tc>
      </w:tr>
    </w:tbl>
    <w:p w:rsidR="00696ADF" w:rsidRDefault="00696ADF" w:rsidP="00696ADF">
      <w:pPr>
        <w:pStyle w:val="ConsPlusNormal"/>
      </w:pPr>
    </w:p>
    <w:p w:rsidR="00180D3E" w:rsidRDefault="00180D3E" w:rsidP="003567F6">
      <w:pPr>
        <w:pStyle w:val="ConsPlusNormal"/>
        <w:jc w:val="both"/>
      </w:pPr>
    </w:p>
    <w:p w:rsidR="005C7547" w:rsidRDefault="005C7547"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5C7547" w:rsidRDefault="005C7547" w:rsidP="003567F6">
      <w:pPr>
        <w:pStyle w:val="ConsPlusNormal"/>
        <w:jc w:val="both"/>
      </w:pPr>
    </w:p>
    <w:p w:rsidR="001051E8" w:rsidRDefault="001051E8" w:rsidP="003567F6">
      <w:pPr>
        <w:pStyle w:val="ConsPlusNormal"/>
        <w:jc w:val="both"/>
      </w:pPr>
    </w:p>
    <w:p w:rsidR="00A06F1B" w:rsidRDefault="00A06F1B" w:rsidP="00A06F1B">
      <w:pPr>
        <w:pStyle w:val="ConsPlusNormal"/>
        <w:jc w:val="both"/>
      </w:pPr>
      <w:r>
        <w:t>*-</w:t>
      </w:r>
      <w:r w:rsidRPr="005C7547">
        <w:t>На момент публикации отсутс</w:t>
      </w:r>
      <w:r w:rsidR="003E5838">
        <w:t>т</w:t>
      </w:r>
      <w:r w:rsidR="00E8015B">
        <w:t>вуют данные инфляции за июнь</w:t>
      </w:r>
      <w:r w:rsidR="00136639">
        <w:t xml:space="preserve"> </w:t>
      </w:r>
      <w:r>
        <w:t>2026 г.</w:t>
      </w:r>
      <w:r w:rsidR="004C339E">
        <w:t>,</w:t>
      </w:r>
      <w:r>
        <w:t xml:space="preserve"> раскрытые Росстатом (</w:t>
      </w:r>
      <w:r w:rsidRPr="005C7547">
        <w:t>https://rosstat.gov.ru/), для расче</w:t>
      </w:r>
      <w:r>
        <w:t>та</w:t>
      </w:r>
      <w:r w:rsidR="00E8015B">
        <w:t xml:space="preserve"> использованы данные за май</w:t>
      </w:r>
      <w:r w:rsidR="00136639">
        <w:t xml:space="preserve"> </w:t>
      </w:r>
      <w:r w:rsidR="003E5838">
        <w:t>2026</w:t>
      </w:r>
      <w:r>
        <w:t xml:space="preserve"> </w:t>
      </w:r>
      <w:r w:rsidRPr="005C7547">
        <w:t>г</w:t>
      </w:r>
      <w:r>
        <w:t>.</w:t>
      </w:r>
    </w:p>
    <w:p w:rsidR="00A06F1B" w:rsidRPr="00F06F39" w:rsidRDefault="00A06F1B" w:rsidP="00A06F1B">
      <w:pPr>
        <w:pStyle w:val="ConsPlusNormal"/>
        <w:jc w:val="both"/>
      </w:pPr>
    </w:p>
    <w:p w:rsidR="005C7547" w:rsidRPr="00F06F39" w:rsidRDefault="005C7547" w:rsidP="00A06F1B">
      <w:pPr>
        <w:pStyle w:val="ConsPlusNormal"/>
        <w:jc w:val="both"/>
      </w:pPr>
    </w:p>
    <w:sectPr w:rsidR="005C7547" w:rsidRPr="00F06F39">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8A4" w:rsidRDefault="009918A4">
      <w:pPr>
        <w:spacing w:after="0" w:line="240" w:lineRule="auto"/>
      </w:pPr>
      <w:r>
        <w:separator/>
      </w:r>
    </w:p>
  </w:endnote>
  <w:endnote w:type="continuationSeparator" w:id="0">
    <w:p w:rsidR="009918A4" w:rsidRDefault="00991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8A4" w:rsidRDefault="009918A4">
      <w:pPr>
        <w:spacing w:after="0" w:line="240" w:lineRule="auto"/>
      </w:pPr>
      <w:r>
        <w:separator/>
      </w:r>
    </w:p>
  </w:footnote>
  <w:footnote w:type="continuationSeparator" w:id="0">
    <w:p w:rsidR="009918A4" w:rsidRDefault="009918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6F"/>
    <w:rsid w:val="0000443B"/>
    <w:rsid w:val="00012656"/>
    <w:rsid w:val="00020A2D"/>
    <w:rsid w:val="00062D52"/>
    <w:rsid w:val="00063F38"/>
    <w:rsid w:val="00073C4E"/>
    <w:rsid w:val="00092463"/>
    <w:rsid w:val="000A263D"/>
    <w:rsid w:val="000A6539"/>
    <w:rsid w:val="000B2B1C"/>
    <w:rsid w:val="000D6418"/>
    <w:rsid w:val="000E22E7"/>
    <w:rsid w:val="000E2606"/>
    <w:rsid w:val="000F2423"/>
    <w:rsid w:val="000F5EEC"/>
    <w:rsid w:val="001051E8"/>
    <w:rsid w:val="00105B56"/>
    <w:rsid w:val="0011201A"/>
    <w:rsid w:val="00134B64"/>
    <w:rsid w:val="00136639"/>
    <w:rsid w:val="00140E33"/>
    <w:rsid w:val="0014147B"/>
    <w:rsid w:val="0014304B"/>
    <w:rsid w:val="0015222E"/>
    <w:rsid w:val="00155178"/>
    <w:rsid w:val="00173178"/>
    <w:rsid w:val="00173959"/>
    <w:rsid w:val="0017481B"/>
    <w:rsid w:val="00180C8C"/>
    <w:rsid w:val="00180D3E"/>
    <w:rsid w:val="001A1D52"/>
    <w:rsid w:val="001B63C5"/>
    <w:rsid w:val="001C019C"/>
    <w:rsid w:val="001E2247"/>
    <w:rsid w:val="001E30F2"/>
    <w:rsid w:val="001E57B2"/>
    <w:rsid w:val="001E7AB7"/>
    <w:rsid w:val="001F1A61"/>
    <w:rsid w:val="001F31D2"/>
    <w:rsid w:val="001F3A90"/>
    <w:rsid w:val="002003E9"/>
    <w:rsid w:val="0020563C"/>
    <w:rsid w:val="00212BD4"/>
    <w:rsid w:val="00215ECE"/>
    <w:rsid w:val="00220B4F"/>
    <w:rsid w:val="002279B7"/>
    <w:rsid w:val="002548E9"/>
    <w:rsid w:val="002649ED"/>
    <w:rsid w:val="00264BB8"/>
    <w:rsid w:val="00266E4D"/>
    <w:rsid w:val="002737B6"/>
    <w:rsid w:val="00274D0F"/>
    <w:rsid w:val="00295D70"/>
    <w:rsid w:val="002965FD"/>
    <w:rsid w:val="002A0A29"/>
    <w:rsid w:val="002A169E"/>
    <w:rsid w:val="002B15E5"/>
    <w:rsid w:val="002B501B"/>
    <w:rsid w:val="002C760F"/>
    <w:rsid w:val="002D1820"/>
    <w:rsid w:val="002D2E74"/>
    <w:rsid w:val="002E3C7C"/>
    <w:rsid w:val="002F04A1"/>
    <w:rsid w:val="002F3318"/>
    <w:rsid w:val="002F4B3A"/>
    <w:rsid w:val="002F552F"/>
    <w:rsid w:val="002F726A"/>
    <w:rsid w:val="003069B1"/>
    <w:rsid w:val="00327A07"/>
    <w:rsid w:val="00340A2A"/>
    <w:rsid w:val="003567F6"/>
    <w:rsid w:val="0037499D"/>
    <w:rsid w:val="0037580E"/>
    <w:rsid w:val="00397D21"/>
    <w:rsid w:val="003B39C3"/>
    <w:rsid w:val="003D7ED1"/>
    <w:rsid w:val="003E5838"/>
    <w:rsid w:val="003E721C"/>
    <w:rsid w:val="003F3864"/>
    <w:rsid w:val="003F4A61"/>
    <w:rsid w:val="003F6A76"/>
    <w:rsid w:val="00403126"/>
    <w:rsid w:val="00404DED"/>
    <w:rsid w:val="00421516"/>
    <w:rsid w:val="00455942"/>
    <w:rsid w:val="0045640A"/>
    <w:rsid w:val="0046422B"/>
    <w:rsid w:val="00465834"/>
    <w:rsid w:val="00473367"/>
    <w:rsid w:val="004A15AB"/>
    <w:rsid w:val="004A2B58"/>
    <w:rsid w:val="004B0DA6"/>
    <w:rsid w:val="004C0BC1"/>
    <w:rsid w:val="004C339E"/>
    <w:rsid w:val="004C4AD6"/>
    <w:rsid w:val="004C7BE9"/>
    <w:rsid w:val="004D2E03"/>
    <w:rsid w:val="004D2E7E"/>
    <w:rsid w:val="004D742E"/>
    <w:rsid w:val="004E3EE7"/>
    <w:rsid w:val="004E6ACB"/>
    <w:rsid w:val="004E6B42"/>
    <w:rsid w:val="004F1581"/>
    <w:rsid w:val="00510D09"/>
    <w:rsid w:val="005220A6"/>
    <w:rsid w:val="005249FF"/>
    <w:rsid w:val="00525365"/>
    <w:rsid w:val="00527B62"/>
    <w:rsid w:val="00531663"/>
    <w:rsid w:val="00556974"/>
    <w:rsid w:val="005600F2"/>
    <w:rsid w:val="00572535"/>
    <w:rsid w:val="00585F2C"/>
    <w:rsid w:val="00587005"/>
    <w:rsid w:val="00592D2B"/>
    <w:rsid w:val="00596866"/>
    <w:rsid w:val="005A65B1"/>
    <w:rsid w:val="005C7547"/>
    <w:rsid w:val="005D329B"/>
    <w:rsid w:val="005F2A9E"/>
    <w:rsid w:val="005F580F"/>
    <w:rsid w:val="00603612"/>
    <w:rsid w:val="00613964"/>
    <w:rsid w:val="0061424D"/>
    <w:rsid w:val="00616EC6"/>
    <w:rsid w:val="00625CD5"/>
    <w:rsid w:val="00635003"/>
    <w:rsid w:val="0064080E"/>
    <w:rsid w:val="00650E54"/>
    <w:rsid w:val="00667DB8"/>
    <w:rsid w:val="00672F92"/>
    <w:rsid w:val="00677124"/>
    <w:rsid w:val="006820EC"/>
    <w:rsid w:val="006852D6"/>
    <w:rsid w:val="006928FB"/>
    <w:rsid w:val="00696ADF"/>
    <w:rsid w:val="006B128C"/>
    <w:rsid w:val="006C04C4"/>
    <w:rsid w:val="006C465A"/>
    <w:rsid w:val="006D16C1"/>
    <w:rsid w:val="006D3347"/>
    <w:rsid w:val="006D6FB9"/>
    <w:rsid w:val="006E1D25"/>
    <w:rsid w:val="006E3F42"/>
    <w:rsid w:val="006E616B"/>
    <w:rsid w:val="006F51C6"/>
    <w:rsid w:val="0070233C"/>
    <w:rsid w:val="00703ADB"/>
    <w:rsid w:val="00722EAE"/>
    <w:rsid w:val="00724D0C"/>
    <w:rsid w:val="00735309"/>
    <w:rsid w:val="007423AA"/>
    <w:rsid w:val="00745622"/>
    <w:rsid w:val="00746D0D"/>
    <w:rsid w:val="00747F96"/>
    <w:rsid w:val="0075676B"/>
    <w:rsid w:val="00760764"/>
    <w:rsid w:val="0076543E"/>
    <w:rsid w:val="00767183"/>
    <w:rsid w:val="0077111E"/>
    <w:rsid w:val="0078355F"/>
    <w:rsid w:val="007A21A6"/>
    <w:rsid w:val="007B0BC1"/>
    <w:rsid w:val="007B27F1"/>
    <w:rsid w:val="007B3342"/>
    <w:rsid w:val="007B3AFB"/>
    <w:rsid w:val="007D1B9E"/>
    <w:rsid w:val="007F23A0"/>
    <w:rsid w:val="007F45A4"/>
    <w:rsid w:val="00814E71"/>
    <w:rsid w:val="00816D85"/>
    <w:rsid w:val="00816D97"/>
    <w:rsid w:val="00816EC6"/>
    <w:rsid w:val="00822A5A"/>
    <w:rsid w:val="00822DE0"/>
    <w:rsid w:val="008231FE"/>
    <w:rsid w:val="00835254"/>
    <w:rsid w:val="00837218"/>
    <w:rsid w:val="008438B5"/>
    <w:rsid w:val="008542CF"/>
    <w:rsid w:val="008618C7"/>
    <w:rsid w:val="0086589A"/>
    <w:rsid w:val="00873573"/>
    <w:rsid w:val="008855A5"/>
    <w:rsid w:val="008A56B6"/>
    <w:rsid w:val="008B3B06"/>
    <w:rsid w:val="008B4EA7"/>
    <w:rsid w:val="008B753E"/>
    <w:rsid w:val="008D622D"/>
    <w:rsid w:val="008D774D"/>
    <w:rsid w:val="00900135"/>
    <w:rsid w:val="00901BB8"/>
    <w:rsid w:val="009036F2"/>
    <w:rsid w:val="009074EC"/>
    <w:rsid w:val="0091688B"/>
    <w:rsid w:val="009262A1"/>
    <w:rsid w:val="00926417"/>
    <w:rsid w:val="00926B1C"/>
    <w:rsid w:val="009311A4"/>
    <w:rsid w:val="00942799"/>
    <w:rsid w:val="00943ACA"/>
    <w:rsid w:val="0094691C"/>
    <w:rsid w:val="0095038B"/>
    <w:rsid w:val="00954373"/>
    <w:rsid w:val="00955E20"/>
    <w:rsid w:val="00964B6C"/>
    <w:rsid w:val="00966546"/>
    <w:rsid w:val="0097348A"/>
    <w:rsid w:val="00983704"/>
    <w:rsid w:val="00983CEC"/>
    <w:rsid w:val="0098476A"/>
    <w:rsid w:val="00986848"/>
    <w:rsid w:val="0099010F"/>
    <w:rsid w:val="0099163D"/>
    <w:rsid w:val="009918A4"/>
    <w:rsid w:val="00991B80"/>
    <w:rsid w:val="009A52C4"/>
    <w:rsid w:val="009C266F"/>
    <w:rsid w:val="009C5021"/>
    <w:rsid w:val="009C6027"/>
    <w:rsid w:val="009D5B54"/>
    <w:rsid w:val="009D6198"/>
    <w:rsid w:val="009E392A"/>
    <w:rsid w:val="009F1983"/>
    <w:rsid w:val="00A03647"/>
    <w:rsid w:val="00A06F1B"/>
    <w:rsid w:val="00A12670"/>
    <w:rsid w:val="00A13034"/>
    <w:rsid w:val="00A2751D"/>
    <w:rsid w:val="00A30EA2"/>
    <w:rsid w:val="00A315EE"/>
    <w:rsid w:val="00A31ECC"/>
    <w:rsid w:val="00A37FDE"/>
    <w:rsid w:val="00A451DF"/>
    <w:rsid w:val="00A62DC6"/>
    <w:rsid w:val="00A85E3A"/>
    <w:rsid w:val="00AA317E"/>
    <w:rsid w:val="00AA3A33"/>
    <w:rsid w:val="00AA585D"/>
    <w:rsid w:val="00AC6B99"/>
    <w:rsid w:val="00AE4EA9"/>
    <w:rsid w:val="00AE67DD"/>
    <w:rsid w:val="00AE78BF"/>
    <w:rsid w:val="00B1019D"/>
    <w:rsid w:val="00B16DF1"/>
    <w:rsid w:val="00B172B6"/>
    <w:rsid w:val="00B27004"/>
    <w:rsid w:val="00B32C38"/>
    <w:rsid w:val="00B35C02"/>
    <w:rsid w:val="00B43D46"/>
    <w:rsid w:val="00B51541"/>
    <w:rsid w:val="00B527B0"/>
    <w:rsid w:val="00B542A1"/>
    <w:rsid w:val="00B56C9A"/>
    <w:rsid w:val="00B65689"/>
    <w:rsid w:val="00B71835"/>
    <w:rsid w:val="00B734B9"/>
    <w:rsid w:val="00B7518F"/>
    <w:rsid w:val="00B8160D"/>
    <w:rsid w:val="00B837D2"/>
    <w:rsid w:val="00BB7E63"/>
    <w:rsid w:val="00BC531D"/>
    <w:rsid w:val="00BD3C94"/>
    <w:rsid w:val="00BE2A5E"/>
    <w:rsid w:val="00C006DF"/>
    <w:rsid w:val="00C06D00"/>
    <w:rsid w:val="00C07FA3"/>
    <w:rsid w:val="00C10B02"/>
    <w:rsid w:val="00C16ECA"/>
    <w:rsid w:val="00C17F28"/>
    <w:rsid w:val="00C214B7"/>
    <w:rsid w:val="00C2479D"/>
    <w:rsid w:val="00C57FF4"/>
    <w:rsid w:val="00C70E40"/>
    <w:rsid w:val="00C742B5"/>
    <w:rsid w:val="00C8278F"/>
    <w:rsid w:val="00C846F4"/>
    <w:rsid w:val="00C91E91"/>
    <w:rsid w:val="00CA2E49"/>
    <w:rsid w:val="00CA5C2C"/>
    <w:rsid w:val="00CA6757"/>
    <w:rsid w:val="00CB0994"/>
    <w:rsid w:val="00CB1C52"/>
    <w:rsid w:val="00CC3978"/>
    <w:rsid w:val="00CC596C"/>
    <w:rsid w:val="00CD10A0"/>
    <w:rsid w:val="00CE1F59"/>
    <w:rsid w:val="00CE37D7"/>
    <w:rsid w:val="00CF59DD"/>
    <w:rsid w:val="00D00022"/>
    <w:rsid w:val="00D12FB4"/>
    <w:rsid w:val="00D20A6A"/>
    <w:rsid w:val="00D2392E"/>
    <w:rsid w:val="00D444F6"/>
    <w:rsid w:val="00D47A72"/>
    <w:rsid w:val="00D524E8"/>
    <w:rsid w:val="00D538FC"/>
    <w:rsid w:val="00D555F6"/>
    <w:rsid w:val="00D62BFE"/>
    <w:rsid w:val="00D66EBC"/>
    <w:rsid w:val="00D70669"/>
    <w:rsid w:val="00D768FF"/>
    <w:rsid w:val="00D77C72"/>
    <w:rsid w:val="00D8625D"/>
    <w:rsid w:val="00D87A80"/>
    <w:rsid w:val="00D916A5"/>
    <w:rsid w:val="00D970B7"/>
    <w:rsid w:val="00DB287A"/>
    <w:rsid w:val="00DB5EE0"/>
    <w:rsid w:val="00DC2756"/>
    <w:rsid w:val="00DC66E7"/>
    <w:rsid w:val="00E02D05"/>
    <w:rsid w:val="00E034C4"/>
    <w:rsid w:val="00E035AD"/>
    <w:rsid w:val="00E1033C"/>
    <w:rsid w:val="00E20E6D"/>
    <w:rsid w:val="00E30AD3"/>
    <w:rsid w:val="00E47FD4"/>
    <w:rsid w:val="00E513AF"/>
    <w:rsid w:val="00E77355"/>
    <w:rsid w:val="00E8015B"/>
    <w:rsid w:val="00E87DC9"/>
    <w:rsid w:val="00E97C99"/>
    <w:rsid w:val="00EA3F32"/>
    <w:rsid w:val="00EC20F1"/>
    <w:rsid w:val="00EC4A13"/>
    <w:rsid w:val="00EC4D09"/>
    <w:rsid w:val="00ED0DC9"/>
    <w:rsid w:val="00ED12B3"/>
    <w:rsid w:val="00ED57E3"/>
    <w:rsid w:val="00EF4A4B"/>
    <w:rsid w:val="00F02DAF"/>
    <w:rsid w:val="00F06F39"/>
    <w:rsid w:val="00F34CE5"/>
    <w:rsid w:val="00F40F2F"/>
    <w:rsid w:val="00F44B0F"/>
    <w:rsid w:val="00F51385"/>
    <w:rsid w:val="00F513D5"/>
    <w:rsid w:val="00F80705"/>
    <w:rsid w:val="00F832FE"/>
    <w:rsid w:val="00FB4B61"/>
    <w:rsid w:val="00FB738A"/>
    <w:rsid w:val="00FC5776"/>
    <w:rsid w:val="00FD06E8"/>
    <w:rsid w:val="00FE2B9D"/>
    <w:rsid w:val="00FE3581"/>
    <w:rsid w:val="00FE56D7"/>
    <w:rsid w:val="00FF1744"/>
    <w:rsid w:val="00FF3D1E"/>
    <w:rsid w:val="00FF7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B8997"/>
  <w15:chartTrackingRefBased/>
  <w15:docId w15:val="{AD000A58-C3C1-4EB6-A07A-6A6E8190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D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6AD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696ADF"/>
    <w:pPr>
      <w:tabs>
        <w:tab w:val="center" w:pos="4677"/>
        <w:tab w:val="right" w:pos="9355"/>
      </w:tabs>
    </w:pPr>
  </w:style>
  <w:style w:type="character" w:customStyle="1" w:styleId="a4">
    <w:name w:val="Верхний колонтитул Знак"/>
    <w:basedOn w:val="a0"/>
    <w:link w:val="a3"/>
    <w:uiPriority w:val="99"/>
    <w:rsid w:val="00696ADF"/>
    <w:rPr>
      <w:rFonts w:eastAsiaTheme="minorEastAsia" w:cs="Times New Roman"/>
      <w:lang w:eastAsia="ru-RU"/>
    </w:rPr>
  </w:style>
  <w:style w:type="paragraph" w:styleId="a5">
    <w:name w:val="footer"/>
    <w:basedOn w:val="a"/>
    <w:link w:val="a6"/>
    <w:uiPriority w:val="99"/>
    <w:unhideWhenUsed/>
    <w:rsid w:val="00696ADF"/>
    <w:pPr>
      <w:tabs>
        <w:tab w:val="center" w:pos="4677"/>
        <w:tab w:val="right" w:pos="9355"/>
      </w:tabs>
    </w:pPr>
  </w:style>
  <w:style w:type="character" w:customStyle="1" w:styleId="a6">
    <w:name w:val="Нижний колонтитул Знак"/>
    <w:basedOn w:val="a0"/>
    <w:link w:val="a5"/>
    <w:uiPriority w:val="99"/>
    <w:rsid w:val="00696ADF"/>
    <w:rPr>
      <w:rFonts w:eastAsiaTheme="minorEastAsia" w:cs="Times New Roman"/>
      <w:lang w:eastAsia="ru-RU"/>
    </w:rPr>
  </w:style>
  <w:style w:type="paragraph" w:styleId="a7">
    <w:name w:val="Balloon Text"/>
    <w:basedOn w:val="a"/>
    <w:link w:val="a8"/>
    <w:uiPriority w:val="99"/>
    <w:semiHidden/>
    <w:unhideWhenUsed/>
    <w:rsid w:val="00C70E4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70E40"/>
    <w:rPr>
      <w:rFonts w:ascii="Segoe UI" w:eastAsiaTheme="minorEastAsia" w:hAnsi="Segoe UI" w:cs="Segoe UI"/>
      <w:sz w:val="18"/>
      <w:szCs w:val="18"/>
      <w:lang w:eastAsia="ru-RU"/>
    </w:rPr>
  </w:style>
  <w:style w:type="character" w:styleId="a9">
    <w:name w:val="Strong"/>
    <w:basedOn w:val="a0"/>
    <w:uiPriority w:val="22"/>
    <w:qFormat/>
    <w:rsid w:val="003567F6"/>
    <w:rPr>
      <w:b/>
      <w:bCs/>
    </w:rPr>
  </w:style>
  <w:style w:type="character" w:styleId="aa">
    <w:name w:val="Hyperlink"/>
    <w:basedOn w:val="a0"/>
    <w:uiPriority w:val="99"/>
    <w:unhideWhenUsed/>
    <w:rsid w:val="003567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06495">
      <w:bodyDiv w:val="1"/>
      <w:marLeft w:val="0"/>
      <w:marRight w:val="0"/>
      <w:marTop w:val="0"/>
      <w:marBottom w:val="0"/>
      <w:divBdr>
        <w:top w:val="none" w:sz="0" w:space="0" w:color="auto"/>
        <w:left w:val="none" w:sz="0" w:space="0" w:color="auto"/>
        <w:bottom w:val="none" w:sz="0" w:space="0" w:color="auto"/>
        <w:right w:val="none" w:sz="0" w:space="0" w:color="auto"/>
      </w:divBdr>
    </w:div>
    <w:div w:id="273943594">
      <w:bodyDiv w:val="1"/>
      <w:marLeft w:val="0"/>
      <w:marRight w:val="0"/>
      <w:marTop w:val="0"/>
      <w:marBottom w:val="0"/>
      <w:divBdr>
        <w:top w:val="none" w:sz="0" w:space="0" w:color="auto"/>
        <w:left w:val="none" w:sz="0" w:space="0" w:color="auto"/>
        <w:bottom w:val="none" w:sz="0" w:space="0" w:color="auto"/>
        <w:right w:val="none" w:sz="0" w:space="0" w:color="auto"/>
      </w:divBdr>
    </w:div>
    <w:div w:id="412044441">
      <w:bodyDiv w:val="1"/>
      <w:marLeft w:val="0"/>
      <w:marRight w:val="0"/>
      <w:marTop w:val="0"/>
      <w:marBottom w:val="0"/>
      <w:divBdr>
        <w:top w:val="none" w:sz="0" w:space="0" w:color="auto"/>
        <w:left w:val="none" w:sz="0" w:space="0" w:color="auto"/>
        <w:bottom w:val="none" w:sz="0" w:space="0" w:color="auto"/>
        <w:right w:val="none" w:sz="0" w:space="0" w:color="auto"/>
      </w:divBdr>
    </w:div>
    <w:div w:id="421490482">
      <w:bodyDiv w:val="1"/>
      <w:marLeft w:val="0"/>
      <w:marRight w:val="0"/>
      <w:marTop w:val="0"/>
      <w:marBottom w:val="0"/>
      <w:divBdr>
        <w:top w:val="none" w:sz="0" w:space="0" w:color="auto"/>
        <w:left w:val="none" w:sz="0" w:space="0" w:color="auto"/>
        <w:bottom w:val="none" w:sz="0" w:space="0" w:color="auto"/>
        <w:right w:val="none" w:sz="0" w:space="0" w:color="auto"/>
      </w:divBdr>
    </w:div>
    <w:div w:id="460807994">
      <w:bodyDiv w:val="1"/>
      <w:marLeft w:val="0"/>
      <w:marRight w:val="0"/>
      <w:marTop w:val="0"/>
      <w:marBottom w:val="0"/>
      <w:divBdr>
        <w:top w:val="none" w:sz="0" w:space="0" w:color="auto"/>
        <w:left w:val="none" w:sz="0" w:space="0" w:color="auto"/>
        <w:bottom w:val="none" w:sz="0" w:space="0" w:color="auto"/>
        <w:right w:val="none" w:sz="0" w:space="0" w:color="auto"/>
      </w:divBdr>
    </w:div>
    <w:div w:id="472450196">
      <w:bodyDiv w:val="1"/>
      <w:marLeft w:val="0"/>
      <w:marRight w:val="0"/>
      <w:marTop w:val="0"/>
      <w:marBottom w:val="0"/>
      <w:divBdr>
        <w:top w:val="none" w:sz="0" w:space="0" w:color="auto"/>
        <w:left w:val="none" w:sz="0" w:space="0" w:color="auto"/>
        <w:bottom w:val="none" w:sz="0" w:space="0" w:color="auto"/>
        <w:right w:val="none" w:sz="0" w:space="0" w:color="auto"/>
      </w:divBdr>
    </w:div>
    <w:div w:id="688068194">
      <w:bodyDiv w:val="1"/>
      <w:marLeft w:val="0"/>
      <w:marRight w:val="0"/>
      <w:marTop w:val="0"/>
      <w:marBottom w:val="0"/>
      <w:divBdr>
        <w:top w:val="none" w:sz="0" w:space="0" w:color="auto"/>
        <w:left w:val="none" w:sz="0" w:space="0" w:color="auto"/>
        <w:bottom w:val="none" w:sz="0" w:space="0" w:color="auto"/>
        <w:right w:val="none" w:sz="0" w:space="0" w:color="auto"/>
      </w:divBdr>
    </w:div>
    <w:div w:id="915356617">
      <w:bodyDiv w:val="1"/>
      <w:marLeft w:val="0"/>
      <w:marRight w:val="0"/>
      <w:marTop w:val="0"/>
      <w:marBottom w:val="0"/>
      <w:divBdr>
        <w:top w:val="none" w:sz="0" w:space="0" w:color="auto"/>
        <w:left w:val="none" w:sz="0" w:space="0" w:color="auto"/>
        <w:bottom w:val="none" w:sz="0" w:space="0" w:color="auto"/>
        <w:right w:val="none" w:sz="0" w:space="0" w:color="auto"/>
      </w:divBdr>
    </w:div>
    <w:div w:id="920479825">
      <w:bodyDiv w:val="1"/>
      <w:marLeft w:val="0"/>
      <w:marRight w:val="0"/>
      <w:marTop w:val="0"/>
      <w:marBottom w:val="0"/>
      <w:divBdr>
        <w:top w:val="none" w:sz="0" w:space="0" w:color="auto"/>
        <w:left w:val="none" w:sz="0" w:space="0" w:color="auto"/>
        <w:bottom w:val="none" w:sz="0" w:space="0" w:color="auto"/>
        <w:right w:val="none" w:sz="0" w:space="0" w:color="auto"/>
      </w:divBdr>
    </w:div>
    <w:div w:id="1126313605">
      <w:bodyDiv w:val="1"/>
      <w:marLeft w:val="0"/>
      <w:marRight w:val="0"/>
      <w:marTop w:val="0"/>
      <w:marBottom w:val="0"/>
      <w:divBdr>
        <w:top w:val="none" w:sz="0" w:space="0" w:color="auto"/>
        <w:left w:val="none" w:sz="0" w:space="0" w:color="auto"/>
        <w:bottom w:val="none" w:sz="0" w:space="0" w:color="auto"/>
        <w:right w:val="none" w:sz="0" w:space="0" w:color="auto"/>
      </w:divBdr>
    </w:div>
    <w:div w:id="1151554750">
      <w:bodyDiv w:val="1"/>
      <w:marLeft w:val="0"/>
      <w:marRight w:val="0"/>
      <w:marTop w:val="0"/>
      <w:marBottom w:val="0"/>
      <w:divBdr>
        <w:top w:val="none" w:sz="0" w:space="0" w:color="auto"/>
        <w:left w:val="none" w:sz="0" w:space="0" w:color="auto"/>
        <w:bottom w:val="none" w:sz="0" w:space="0" w:color="auto"/>
        <w:right w:val="none" w:sz="0" w:space="0" w:color="auto"/>
      </w:divBdr>
    </w:div>
    <w:div w:id="1232932089">
      <w:bodyDiv w:val="1"/>
      <w:marLeft w:val="0"/>
      <w:marRight w:val="0"/>
      <w:marTop w:val="0"/>
      <w:marBottom w:val="0"/>
      <w:divBdr>
        <w:top w:val="none" w:sz="0" w:space="0" w:color="auto"/>
        <w:left w:val="none" w:sz="0" w:space="0" w:color="auto"/>
        <w:bottom w:val="none" w:sz="0" w:space="0" w:color="auto"/>
        <w:right w:val="none" w:sz="0" w:space="0" w:color="auto"/>
      </w:divBdr>
    </w:div>
    <w:div w:id="1373385605">
      <w:bodyDiv w:val="1"/>
      <w:marLeft w:val="0"/>
      <w:marRight w:val="0"/>
      <w:marTop w:val="0"/>
      <w:marBottom w:val="0"/>
      <w:divBdr>
        <w:top w:val="none" w:sz="0" w:space="0" w:color="auto"/>
        <w:left w:val="none" w:sz="0" w:space="0" w:color="auto"/>
        <w:bottom w:val="none" w:sz="0" w:space="0" w:color="auto"/>
        <w:right w:val="none" w:sz="0" w:space="0" w:color="auto"/>
      </w:divBdr>
    </w:div>
    <w:div w:id="1426536301">
      <w:bodyDiv w:val="1"/>
      <w:marLeft w:val="0"/>
      <w:marRight w:val="0"/>
      <w:marTop w:val="0"/>
      <w:marBottom w:val="0"/>
      <w:divBdr>
        <w:top w:val="none" w:sz="0" w:space="0" w:color="auto"/>
        <w:left w:val="none" w:sz="0" w:space="0" w:color="auto"/>
        <w:bottom w:val="none" w:sz="0" w:space="0" w:color="auto"/>
        <w:right w:val="none" w:sz="0" w:space="0" w:color="auto"/>
      </w:divBdr>
    </w:div>
    <w:div w:id="1442652423">
      <w:bodyDiv w:val="1"/>
      <w:marLeft w:val="0"/>
      <w:marRight w:val="0"/>
      <w:marTop w:val="0"/>
      <w:marBottom w:val="0"/>
      <w:divBdr>
        <w:top w:val="none" w:sz="0" w:space="0" w:color="auto"/>
        <w:left w:val="none" w:sz="0" w:space="0" w:color="auto"/>
        <w:bottom w:val="none" w:sz="0" w:space="0" w:color="auto"/>
        <w:right w:val="none" w:sz="0" w:space="0" w:color="auto"/>
      </w:divBdr>
    </w:div>
    <w:div w:id="1485704059">
      <w:bodyDiv w:val="1"/>
      <w:marLeft w:val="0"/>
      <w:marRight w:val="0"/>
      <w:marTop w:val="0"/>
      <w:marBottom w:val="0"/>
      <w:divBdr>
        <w:top w:val="none" w:sz="0" w:space="0" w:color="auto"/>
        <w:left w:val="none" w:sz="0" w:space="0" w:color="auto"/>
        <w:bottom w:val="none" w:sz="0" w:space="0" w:color="auto"/>
        <w:right w:val="none" w:sz="0" w:space="0" w:color="auto"/>
      </w:divBdr>
    </w:div>
    <w:div w:id="1802305656">
      <w:bodyDiv w:val="1"/>
      <w:marLeft w:val="0"/>
      <w:marRight w:val="0"/>
      <w:marTop w:val="0"/>
      <w:marBottom w:val="0"/>
      <w:divBdr>
        <w:top w:val="none" w:sz="0" w:space="0" w:color="auto"/>
        <w:left w:val="none" w:sz="0" w:space="0" w:color="auto"/>
        <w:bottom w:val="none" w:sz="0" w:space="0" w:color="auto"/>
        <w:right w:val="none" w:sz="0" w:space="0" w:color="auto"/>
      </w:divBdr>
    </w:div>
    <w:div w:id="2088653680">
      <w:bodyDiv w:val="1"/>
      <w:marLeft w:val="0"/>
      <w:marRight w:val="0"/>
      <w:marTop w:val="0"/>
      <w:marBottom w:val="0"/>
      <w:divBdr>
        <w:top w:val="none" w:sz="0" w:space="0" w:color="auto"/>
        <w:left w:val="none" w:sz="0" w:space="0" w:color="auto"/>
        <w:bottom w:val="none" w:sz="0" w:space="0" w:color="auto"/>
        <w:right w:val="none" w:sz="0" w:space="0" w:color="auto"/>
      </w:divBdr>
    </w:div>
    <w:div w:id="2120029375">
      <w:bodyDiv w:val="1"/>
      <w:marLeft w:val="0"/>
      <w:marRight w:val="0"/>
      <w:marTop w:val="0"/>
      <w:marBottom w:val="0"/>
      <w:divBdr>
        <w:top w:val="none" w:sz="0" w:space="0" w:color="auto"/>
        <w:left w:val="none" w:sz="0" w:space="0" w:color="auto"/>
        <w:bottom w:val="none" w:sz="0" w:space="0" w:color="auto"/>
        <w:right w:val="none" w:sz="0" w:space="0" w:color="auto"/>
      </w:divBdr>
    </w:div>
    <w:div w:id="212634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ess-finance.ru/liczenziya-uk-s-2018-po-nastoyashhe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cbr.ru.,&#1085;&#1086;&#1084;&#1077;&#10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ecdep.ru" TargetMode="External"/><Relationship Id="rId5" Type="http://schemas.openxmlformats.org/officeDocument/2006/relationships/footnotes" Target="footnotes.xml"/><Relationship Id="rId10" Type="http://schemas.openxmlformats.org/officeDocument/2006/relationships/hyperlink" Target="http://www.specdep.ru" TargetMode="External"/><Relationship Id="rId4" Type="http://schemas.openxmlformats.org/officeDocument/2006/relationships/webSettings" Target="webSettings.xml"/><Relationship Id="rId9" Type="http://schemas.openxmlformats.org/officeDocument/2006/relationships/hyperlink" Target="http://www.progress-finance.ru/"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term01-srv\share\3_&#1055;&#1091;&#1073;&#1083;&#1080;&#1082;&#1072;&#1094;&#1080;&#1080;%20&#1085;&#1072;%20&#1089;&#1072;&#1081;&#1090;&#1077;%20&#1059;&#1050;\2026\&#1080;&#1102;&#1085;&#1100;\&#1044;&#1086;&#1093;&#1086;&#1076;&#1085;&#1086;&#1089;&#1090;&#1100;%2029.05.2026.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a:t>Доходность за календарный год, %</a:t>
            </a:r>
          </a:p>
          <a:p>
            <a:pPr>
              <a:defRPr/>
            </a:pPr>
            <a:endParaRPr lang="ru-RU"/>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ru-RU"/>
        </a:p>
      </c:txPr>
    </c:title>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'Доходность по годам'!$A$4:$A$8</c:f>
              <c:strCache>
                <c:ptCount val="5"/>
                <c:pt idx="0">
                  <c:v>2025</c:v>
                </c:pt>
                <c:pt idx="1">
                  <c:v>2024</c:v>
                </c:pt>
                <c:pt idx="2">
                  <c:v>2023</c:v>
                </c:pt>
                <c:pt idx="3">
                  <c:v>2022</c:v>
                </c:pt>
                <c:pt idx="4">
                  <c:v>2021</c:v>
                </c:pt>
              </c:strCache>
            </c:strRef>
          </c:cat>
          <c:val>
            <c:numRef>
              <c:f>'Доходность по годам'!$E$4:$E$8</c:f>
              <c:numCache>
                <c:formatCode>0.00%</c:formatCode>
                <c:ptCount val="5"/>
                <c:pt idx="0">
                  <c:v>1.8639320655148173</c:v>
                </c:pt>
                <c:pt idx="1">
                  <c:v>0.14205831841830019</c:v>
                </c:pt>
                <c:pt idx="2">
                  <c:v>0.26106659750347688</c:v>
                </c:pt>
                <c:pt idx="3">
                  <c:v>0.17843365797094635</c:v>
                </c:pt>
                <c:pt idx="4">
                  <c:v>0.18418803082753535</c:v>
                </c:pt>
              </c:numCache>
            </c:numRef>
          </c:val>
          <c:extLst>
            <c:ext xmlns:c16="http://schemas.microsoft.com/office/drawing/2014/chart" uri="{C3380CC4-5D6E-409C-BE32-E72D297353CC}">
              <c16:uniqueId val="{00000000-1C76-481A-BAD7-108E86A11525}"/>
            </c:ext>
          </c:extLst>
        </c:ser>
        <c:dLbls>
          <c:showLegendKey val="0"/>
          <c:showVal val="0"/>
          <c:showCatName val="0"/>
          <c:showSerName val="0"/>
          <c:showPercent val="0"/>
          <c:showBubbleSize val="0"/>
        </c:dLbls>
        <c:gapWidth val="100"/>
        <c:overlap val="-24"/>
        <c:axId val="467277160"/>
        <c:axId val="467279784"/>
      </c:barChart>
      <c:catAx>
        <c:axId val="46727716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467279784"/>
        <c:crosses val="autoZero"/>
        <c:auto val="1"/>
        <c:lblAlgn val="ctr"/>
        <c:lblOffset val="100"/>
        <c:noMultiLvlLbl val="0"/>
      </c:catAx>
      <c:valAx>
        <c:axId val="467279784"/>
        <c:scaling>
          <c:orientation val="minMax"/>
        </c:scaling>
        <c:delete val="0"/>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467277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38989-10C2-4204-B412-EF000E3F8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5</Pages>
  <Words>974</Words>
  <Characters>5555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Балаева Евгения Викторовна</dc:creator>
  <cp:keywords/>
  <dc:description/>
  <cp:lastModifiedBy>Admin</cp:lastModifiedBy>
  <cp:revision>54</cp:revision>
  <cp:lastPrinted>2022-10-11T08:50:00Z</cp:lastPrinted>
  <dcterms:created xsi:type="dcterms:W3CDTF">2025-06-26T12:04:00Z</dcterms:created>
  <dcterms:modified xsi:type="dcterms:W3CDTF">2026-07-08T09:27:00Z</dcterms:modified>
</cp:coreProperties>
</file>