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C06D00">
              <w:rPr>
                <w:b/>
                <w:color w:val="000000" w:themeColor="text1"/>
              </w:rPr>
              <w:t>31.01.2025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572535">
              <w:t>37</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8855A5" w:rsidP="0017130E">
            <w:pPr>
              <w:pStyle w:val="ConsPlusNormal"/>
              <w:jc w:val="center"/>
            </w:pPr>
            <w:r>
              <w:t>81,47</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8855A5" w:rsidP="00FE56D7">
            <w:pPr>
              <w:pStyle w:val="ConsPlusNormal"/>
              <w:jc w:val="center"/>
            </w:pPr>
            <w:r>
              <w:t>7,58</w:t>
            </w:r>
            <w:r w:rsidR="00FE56D7">
              <w:t>%</w:t>
            </w:r>
          </w:p>
        </w:tc>
        <w:tc>
          <w:tcPr>
            <w:tcW w:w="341" w:type="dxa"/>
            <w:vMerge/>
            <w:tcBorders>
              <w:bottom w:val="single" w:sz="4" w:space="0" w:color="auto"/>
            </w:tcBorders>
          </w:tcPr>
          <w:p w:rsidR="00FE56D7" w:rsidRDefault="00FE56D7" w:rsidP="00FE56D7">
            <w:pPr>
              <w:pStyle w:val="ConsPlusNormal"/>
            </w:pPr>
          </w:p>
        </w:tc>
      </w:tr>
      <w:tr w:rsidR="00A2751D" w:rsidTr="00A2751D">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A2751D" w:rsidRDefault="004A15AB" w:rsidP="00A2751D">
            <w:pPr>
              <w:pStyle w:val="ConsPlusNormal"/>
              <w:jc w:val="center"/>
            </w:pPr>
            <w:r>
              <w:t>4,60</w:t>
            </w:r>
            <w:r w:rsidR="00A2751D">
              <w:t>%</w:t>
            </w:r>
          </w:p>
        </w:tc>
        <w:tc>
          <w:tcPr>
            <w:tcW w:w="341" w:type="dxa"/>
            <w:vMerge/>
            <w:tcBorders>
              <w:bottom w:val="single" w:sz="4" w:space="0" w:color="auto"/>
            </w:tcBorders>
          </w:tcPr>
          <w:p w:rsidR="00A2751D" w:rsidRDefault="00A2751D" w:rsidP="00A2751D">
            <w:pPr>
              <w:pStyle w:val="ConsPlusNormal"/>
            </w:pPr>
          </w:p>
        </w:tc>
      </w:tr>
      <w:tr w:rsidR="00A2751D" w:rsidTr="0000443B">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8855A5" w:rsidRDefault="008855A5" w:rsidP="008855A5">
            <w:pPr>
              <w:pStyle w:val="ConsPlusNormal"/>
            </w:pPr>
            <w:r>
              <w:t xml:space="preserve"> ООО «БНС ГРУПП»</w:t>
            </w:r>
          </w:p>
          <w:p w:rsidR="00A2751D" w:rsidRDefault="008855A5" w:rsidP="008855A5">
            <w:pPr>
              <w:pStyle w:val="ConsPlusNormal"/>
            </w:pPr>
            <w:r>
              <w:t>(ИНН7702680310)</w:t>
            </w:r>
          </w:p>
        </w:tc>
        <w:tc>
          <w:tcPr>
            <w:tcW w:w="1134" w:type="dxa"/>
            <w:tcBorders>
              <w:top w:val="single" w:sz="4" w:space="0" w:color="auto"/>
              <w:left w:val="single" w:sz="4" w:space="0" w:color="auto"/>
              <w:bottom w:val="single" w:sz="4" w:space="0" w:color="auto"/>
              <w:right w:val="single" w:sz="4" w:space="0" w:color="auto"/>
            </w:tcBorders>
          </w:tcPr>
          <w:p w:rsidR="00A2751D" w:rsidRDefault="004A15AB" w:rsidP="00A2751D">
            <w:pPr>
              <w:pStyle w:val="ConsPlusNormal"/>
              <w:jc w:val="center"/>
            </w:pPr>
            <w:r>
              <w:t>1,69</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7423AA">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8855A5" w:rsidRDefault="008855A5" w:rsidP="008855A5">
            <w:pPr>
              <w:pStyle w:val="ConsPlusNormal"/>
            </w:pPr>
            <w:r>
              <w:t>ООО «Кофе МАДЕО»</w:t>
            </w:r>
          </w:p>
          <w:p w:rsidR="001E57B2" w:rsidRDefault="008855A5" w:rsidP="008855A5">
            <w:pPr>
              <w:pStyle w:val="ConsPlusNormal"/>
            </w:pPr>
            <w:r>
              <w:t>(ИНН5027087544)</w:t>
            </w:r>
          </w:p>
        </w:tc>
        <w:tc>
          <w:tcPr>
            <w:tcW w:w="1134" w:type="dxa"/>
            <w:tcBorders>
              <w:top w:val="single" w:sz="4" w:space="0" w:color="auto"/>
              <w:left w:val="single" w:sz="4" w:space="0" w:color="auto"/>
              <w:bottom w:val="single" w:sz="4" w:space="0" w:color="auto"/>
              <w:right w:val="single" w:sz="4" w:space="0" w:color="auto"/>
            </w:tcBorders>
          </w:tcPr>
          <w:p w:rsidR="00A2751D" w:rsidRDefault="004A15AB" w:rsidP="00A2751D">
            <w:pPr>
              <w:pStyle w:val="ConsPlusNormal"/>
              <w:jc w:val="center"/>
            </w:pPr>
            <w:r>
              <w:t>0,3</w:t>
            </w:r>
            <w:r w:rsidR="001E57B2">
              <w:t>8</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063301">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063301" w:rsidP="00A2751D">
            <w:pPr>
              <w:pStyle w:val="ConsPlusNormal"/>
              <w:jc w:val="center"/>
              <w:rPr>
                <w:lang w:val="en-US"/>
              </w:rPr>
            </w:pPr>
            <w:r>
              <w:rPr>
                <w:noProof/>
              </w:rPr>
              <w:drawing>
                <wp:inline distT="0" distB="0" distL="0" distR="0" wp14:anchorId="7110A8A5" wp14:editId="2722A932">
                  <wp:extent cx="2653665" cy="3401695"/>
                  <wp:effectExtent l="0" t="0" r="13335"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341" w:type="dxa"/>
            <w:vMerge/>
            <w:tcBorders>
              <w:top w:val="single" w:sz="4" w:space="0" w:color="auto"/>
              <w:left w:val="single" w:sz="4" w:space="0" w:color="auto"/>
            </w:tcBorders>
          </w:tcPr>
          <w:p w:rsidR="00A2751D" w:rsidRPr="0020563C" w:rsidRDefault="00A2751D" w:rsidP="00A2751D">
            <w:pPr>
              <w:pStyle w:val="ConsPlusNormal"/>
              <w:jc w:val="center"/>
            </w:pPr>
          </w:p>
        </w:tc>
      </w:tr>
      <w:tr w:rsidR="00063301"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063301" w:rsidRDefault="00063301" w:rsidP="00063301">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63301" w:rsidRPr="00900135" w:rsidRDefault="00063301" w:rsidP="00063301">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63301" w:rsidRDefault="00063301" w:rsidP="00063301">
            <w:pPr>
              <w:jc w:val="center"/>
              <w:rPr>
                <w:rFonts w:ascii="Calibri" w:eastAsia="Times New Roman" w:hAnsi="Calibri" w:cs="Calibri"/>
                <w:color w:val="000000"/>
              </w:rPr>
            </w:pPr>
            <w:r>
              <w:rPr>
                <w:rFonts w:ascii="Calibri" w:hAnsi="Calibri" w:cs="Calibri"/>
                <w:color w:val="000000"/>
              </w:rPr>
              <w:t>1,85%</w:t>
            </w:r>
          </w:p>
        </w:tc>
        <w:tc>
          <w:tcPr>
            <w:tcW w:w="1928" w:type="dxa"/>
            <w:gridSpan w:val="2"/>
            <w:tcBorders>
              <w:top w:val="single" w:sz="4" w:space="0" w:color="auto"/>
              <w:left w:val="nil"/>
              <w:bottom w:val="single" w:sz="4" w:space="0" w:color="auto"/>
              <w:right w:val="nil"/>
            </w:tcBorders>
            <w:shd w:val="clear" w:color="auto" w:fill="auto"/>
            <w:vAlign w:val="center"/>
          </w:tcPr>
          <w:p w:rsidR="00063301" w:rsidRDefault="00063301" w:rsidP="00063301">
            <w:pPr>
              <w:jc w:val="center"/>
              <w:rPr>
                <w:rFonts w:ascii="Calibri" w:eastAsia="Times New Roman" w:hAnsi="Calibri" w:cs="Calibri"/>
                <w:color w:val="000000"/>
              </w:rPr>
            </w:pPr>
            <w:r>
              <w:rPr>
                <w:rFonts w:ascii="Calibri" w:hAnsi="Calibri" w:cs="Calibri"/>
                <w:color w:val="000000"/>
              </w:rPr>
              <w:t>0,53%</w:t>
            </w:r>
          </w:p>
        </w:tc>
        <w:tc>
          <w:tcPr>
            <w:tcW w:w="341" w:type="dxa"/>
            <w:vMerge/>
            <w:tcBorders>
              <w:top w:val="single" w:sz="4" w:space="0" w:color="auto"/>
              <w:left w:val="single" w:sz="4" w:space="0" w:color="auto"/>
            </w:tcBorders>
          </w:tcPr>
          <w:p w:rsidR="00063301" w:rsidRPr="0020563C" w:rsidRDefault="00063301" w:rsidP="00063301">
            <w:pPr>
              <w:pStyle w:val="ConsPlusNormal"/>
              <w:jc w:val="center"/>
            </w:pPr>
          </w:p>
        </w:tc>
      </w:tr>
      <w:tr w:rsidR="00063301"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063301" w:rsidRDefault="00063301" w:rsidP="0006330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63301" w:rsidRPr="00900135" w:rsidRDefault="00063301" w:rsidP="00063301">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63301" w:rsidRDefault="00063301" w:rsidP="00063301">
            <w:pPr>
              <w:jc w:val="center"/>
              <w:rPr>
                <w:rFonts w:ascii="Calibri" w:hAnsi="Calibri" w:cs="Calibri"/>
                <w:color w:val="000000"/>
              </w:rPr>
            </w:pPr>
            <w:r>
              <w:rPr>
                <w:rFonts w:ascii="Calibri" w:hAnsi="Calibri" w:cs="Calibri"/>
                <w:color w:val="000000"/>
              </w:rPr>
              <w:t>-4,15%</w:t>
            </w:r>
          </w:p>
        </w:tc>
        <w:tc>
          <w:tcPr>
            <w:tcW w:w="1928" w:type="dxa"/>
            <w:gridSpan w:val="2"/>
            <w:tcBorders>
              <w:top w:val="single" w:sz="4" w:space="0" w:color="auto"/>
              <w:left w:val="nil"/>
              <w:bottom w:val="single" w:sz="4" w:space="0" w:color="auto"/>
              <w:right w:val="nil"/>
            </w:tcBorders>
            <w:shd w:val="clear" w:color="auto" w:fill="auto"/>
            <w:vAlign w:val="center"/>
          </w:tcPr>
          <w:p w:rsidR="00063301" w:rsidRDefault="00063301" w:rsidP="00063301">
            <w:pPr>
              <w:jc w:val="center"/>
              <w:rPr>
                <w:rFonts w:ascii="Calibri" w:hAnsi="Calibri" w:cs="Calibri"/>
                <w:color w:val="000000"/>
              </w:rPr>
            </w:pPr>
            <w:r>
              <w:rPr>
                <w:rFonts w:ascii="Calibri" w:hAnsi="Calibri" w:cs="Calibri"/>
                <w:color w:val="000000"/>
              </w:rPr>
              <w:t>-8,24%</w:t>
            </w:r>
          </w:p>
        </w:tc>
        <w:tc>
          <w:tcPr>
            <w:tcW w:w="341" w:type="dxa"/>
            <w:vMerge/>
            <w:tcBorders>
              <w:top w:val="single" w:sz="4" w:space="0" w:color="auto"/>
              <w:left w:val="single" w:sz="4" w:space="0" w:color="auto"/>
            </w:tcBorders>
          </w:tcPr>
          <w:p w:rsidR="00063301" w:rsidRDefault="00063301" w:rsidP="00063301">
            <w:pPr>
              <w:pStyle w:val="ConsPlusNormal"/>
            </w:pPr>
          </w:p>
        </w:tc>
      </w:tr>
      <w:tr w:rsidR="00063301"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063301" w:rsidRDefault="00063301" w:rsidP="0006330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63301" w:rsidRPr="00900135" w:rsidRDefault="00063301" w:rsidP="00063301">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63301" w:rsidRDefault="00063301" w:rsidP="00063301">
            <w:pPr>
              <w:jc w:val="center"/>
              <w:rPr>
                <w:rFonts w:ascii="Calibri" w:hAnsi="Calibri" w:cs="Calibri"/>
                <w:color w:val="000000"/>
              </w:rPr>
            </w:pPr>
            <w:r>
              <w:rPr>
                <w:rFonts w:ascii="Calibri" w:hAnsi="Calibri" w:cs="Calibri"/>
                <w:color w:val="000000"/>
              </w:rPr>
              <w:t>2,87%</w:t>
            </w:r>
          </w:p>
        </w:tc>
        <w:tc>
          <w:tcPr>
            <w:tcW w:w="1928" w:type="dxa"/>
            <w:gridSpan w:val="2"/>
            <w:tcBorders>
              <w:top w:val="single" w:sz="4" w:space="0" w:color="auto"/>
              <w:left w:val="nil"/>
              <w:bottom w:val="single" w:sz="4" w:space="0" w:color="auto"/>
              <w:right w:val="nil"/>
            </w:tcBorders>
            <w:shd w:val="clear" w:color="auto" w:fill="auto"/>
            <w:vAlign w:val="center"/>
          </w:tcPr>
          <w:p w:rsidR="00063301" w:rsidRDefault="00063301" w:rsidP="00063301">
            <w:pPr>
              <w:jc w:val="center"/>
              <w:rPr>
                <w:rFonts w:ascii="Calibri" w:hAnsi="Calibri" w:cs="Calibri"/>
                <w:color w:val="000000"/>
              </w:rPr>
            </w:pPr>
            <w:r>
              <w:rPr>
                <w:rFonts w:ascii="Calibri" w:hAnsi="Calibri" w:cs="Calibri"/>
                <w:color w:val="000000"/>
              </w:rPr>
              <w:t>-2,69%</w:t>
            </w:r>
          </w:p>
        </w:tc>
        <w:tc>
          <w:tcPr>
            <w:tcW w:w="341" w:type="dxa"/>
            <w:vMerge/>
            <w:tcBorders>
              <w:top w:val="single" w:sz="4" w:space="0" w:color="auto"/>
              <w:left w:val="single" w:sz="4" w:space="0" w:color="auto"/>
            </w:tcBorders>
          </w:tcPr>
          <w:p w:rsidR="00063301" w:rsidRDefault="00063301" w:rsidP="00063301">
            <w:pPr>
              <w:pStyle w:val="ConsPlusNormal"/>
            </w:pPr>
          </w:p>
        </w:tc>
      </w:tr>
      <w:tr w:rsidR="00063301"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063301" w:rsidRDefault="00063301" w:rsidP="0006330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63301" w:rsidRPr="00900135" w:rsidRDefault="00063301" w:rsidP="00063301">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63301" w:rsidRDefault="00063301" w:rsidP="00063301">
            <w:pPr>
              <w:jc w:val="center"/>
              <w:rPr>
                <w:rFonts w:ascii="Calibri" w:hAnsi="Calibri" w:cs="Calibri"/>
                <w:color w:val="000000"/>
              </w:rPr>
            </w:pPr>
            <w:r>
              <w:rPr>
                <w:rFonts w:ascii="Calibri" w:hAnsi="Calibri" w:cs="Calibri"/>
                <w:color w:val="000000"/>
              </w:rPr>
              <w:t>13,72%</w:t>
            </w:r>
          </w:p>
        </w:tc>
        <w:tc>
          <w:tcPr>
            <w:tcW w:w="1928" w:type="dxa"/>
            <w:gridSpan w:val="2"/>
            <w:tcBorders>
              <w:top w:val="single" w:sz="4" w:space="0" w:color="auto"/>
              <w:left w:val="nil"/>
              <w:bottom w:val="single" w:sz="4" w:space="0" w:color="auto"/>
              <w:right w:val="nil"/>
            </w:tcBorders>
            <w:shd w:val="clear" w:color="auto" w:fill="auto"/>
            <w:vAlign w:val="center"/>
          </w:tcPr>
          <w:p w:rsidR="00063301" w:rsidRDefault="00063301" w:rsidP="00063301">
            <w:pPr>
              <w:jc w:val="center"/>
              <w:rPr>
                <w:rFonts w:ascii="Calibri" w:hAnsi="Calibri" w:cs="Calibri"/>
                <w:color w:val="000000"/>
              </w:rPr>
            </w:pPr>
            <w:r>
              <w:rPr>
                <w:rFonts w:ascii="Calibri" w:hAnsi="Calibri" w:cs="Calibri"/>
                <w:color w:val="000000"/>
              </w:rPr>
              <w:t>3,82%</w:t>
            </w:r>
          </w:p>
        </w:tc>
        <w:tc>
          <w:tcPr>
            <w:tcW w:w="341" w:type="dxa"/>
            <w:vMerge/>
            <w:tcBorders>
              <w:top w:val="single" w:sz="4" w:space="0" w:color="auto"/>
              <w:left w:val="single" w:sz="4" w:space="0" w:color="auto"/>
            </w:tcBorders>
          </w:tcPr>
          <w:p w:rsidR="00063301" w:rsidRDefault="00063301" w:rsidP="00063301">
            <w:pPr>
              <w:pStyle w:val="ConsPlusNormal"/>
            </w:pPr>
          </w:p>
        </w:tc>
      </w:tr>
      <w:tr w:rsidR="00063301"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063301" w:rsidRDefault="00063301" w:rsidP="0006330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63301" w:rsidRPr="00900135" w:rsidRDefault="00063301" w:rsidP="00063301">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63301" w:rsidRDefault="00063301" w:rsidP="00063301">
            <w:pPr>
              <w:jc w:val="center"/>
              <w:rPr>
                <w:rFonts w:ascii="Calibri" w:hAnsi="Calibri" w:cs="Calibri"/>
                <w:color w:val="000000"/>
              </w:rPr>
            </w:pPr>
            <w:r>
              <w:rPr>
                <w:rFonts w:ascii="Calibri" w:hAnsi="Calibri" w:cs="Calibri"/>
                <w:color w:val="000000"/>
              </w:rPr>
              <w:t>54,52%</w:t>
            </w:r>
          </w:p>
        </w:tc>
        <w:tc>
          <w:tcPr>
            <w:tcW w:w="1928" w:type="dxa"/>
            <w:gridSpan w:val="2"/>
            <w:tcBorders>
              <w:top w:val="single" w:sz="4" w:space="0" w:color="auto"/>
              <w:left w:val="nil"/>
              <w:bottom w:val="single" w:sz="4" w:space="0" w:color="auto"/>
              <w:right w:val="nil"/>
            </w:tcBorders>
            <w:shd w:val="clear" w:color="auto" w:fill="auto"/>
            <w:vAlign w:val="center"/>
          </w:tcPr>
          <w:p w:rsidR="00063301" w:rsidRDefault="00063301" w:rsidP="00063301">
            <w:pPr>
              <w:jc w:val="center"/>
              <w:rPr>
                <w:rFonts w:ascii="Calibri" w:hAnsi="Calibri" w:cs="Calibri"/>
                <w:color w:val="000000"/>
              </w:rPr>
            </w:pPr>
            <w:r>
              <w:rPr>
                <w:rFonts w:ascii="Calibri" w:hAnsi="Calibri" w:cs="Calibri"/>
                <w:color w:val="000000"/>
              </w:rPr>
              <w:t>22,83%</w:t>
            </w:r>
          </w:p>
        </w:tc>
        <w:tc>
          <w:tcPr>
            <w:tcW w:w="341" w:type="dxa"/>
            <w:vMerge/>
            <w:tcBorders>
              <w:top w:val="single" w:sz="4" w:space="0" w:color="auto"/>
              <w:left w:val="single" w:sz="4" w:space="0" w:color="auto"/>
            </w:tcBorders>
          </w:tcPr>
          <w:p w:rsidR="00063301" w:rsidRDefault="00063301" w:rsidP="00063301">
            <w:pPr>
              <w:pStyle w:val="ConsPlusNormal"/>
            </w:pPr>
          </w:p>
        </w:tc>
      </w:tr>
      <w:tr w:rsidR="00063301" w:rsidTr="0014147B">
        <w:trPr>
          <w:gridAfter w:val="4"/>
          <w:wAfter w:w="1364" w:type="dxa"/>
          <w:jc w:val="center"/>
        </w:trPr>
        <w:tc>
          <w:tcPr>
            <w:tcW w:w="4395" w:type="dxa"/>
            <w:gridSpan w:val="4"/>
            <w:tcBorders>
              <w:top w:val="single" w:sz="4" w:space="0" w:color="auto"/>
              <w:right w:val="single" w:sz="4" w:space="0" w:color="auto"/>
            </w:tcBorders>
          </w:tcPr>
          <w:p w:rsidR="00063301" w:rsidRDefault="00063301" w:rsidP="0006330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63301" w:rsidRPr="00900135" w:rsidRDefault="00063301" w:rsidP="00063301">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63301" w:rsidRDefault="00063301" w:rsidP="00063301">
            <w:pPr>
              <w:jc w:val="center"/>
              <w:rPr>
                <w:rFonts w:ascii="Calibri" w:hAnsi="Calibri" w:cs="Calibri"/>
                <w:color w:val="000000"/>
              </w:rPr>
            </w:pPr>
            <w:r>
              <w:rPr>
                <w:rFonts w:ascii="Calibri" w:hAnsi="Calibri" w:cs="Calibri"/>
                <w:color w:val="000000"/>
              </w:rPr>
              <w:t>90,75%</w:t>
            </w:r>
          </w:p>
        </w:tc>
        <w:tc>
          <w:tcPr>
            <w:tcW w:w="1928" w:type="dxa"/>
            <w:gridSpan w:val="2"/>
            <w:tcBorders>
              <w:top w:val="single" w:sz="4" w:space="0" w:color="auto"/>
              <w:left w:val="nil"/>
              <w:bottom w:val="single" w:sz="4" w:space="0" w:color="auto"/>
              <w:right w:val="nil"/>
            </w:tcBorders>
            <w:shd w:val="clear" w:color="auto" w:fill="auto"/>
            <w:vAlign w:val="center"/>
          </w:tcPr>
          <w:p w:rsidR="00063301" w:rsidRDefault="00063301" w:rsidP="00063301">
            <w:pPr>
              <w:jc w:val="center"/>
              <w:rPr>
                <w:rFonts w:ascii="Calibri" w:hAnsi="Calibri" w:cs="Calibri"/>
                <w:color w:val="000000"/>
              </w:rPr>
            </w:pPr>
            <w:r>
              <w:rPr>
                <w:rFonts w:ascii="Calibri" w:hAnsi="Calibri" w:cs="Calibri"/>
                <w:color w:val="000000"/>
              </w:rPr>
              <w:t>40,30%</w:t>
            </w:r>
          </w:p>
        </w:tc>
        <w:tc>
          <w:tcPr>
            <w:tcW w:w="341" w:type="dxa"/>
            <w:vMerge/>
            <w:tcBorders>
              <w:top w:val="single" w:sz="4" w:space="0" w:color="auto"/>
              <w:left w:val="single" w:sz="4" w:space="0" w:color="auto"/>
            </w:tcBorders>
          </w:tcPr>
          <w:p w:rsidR="00063301" w:rsidRDefault="00063301" w:rsidP="00063301">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sidR="00C06D00">
              <w:rPr>
                <w:b/>
              </w:rPr>
              <w:t>1 235 477,50</w:t>
            </w:r>
            <w:r>
              <w:rPr>
                <w:b/>
              </w:rPr>
              <w:t xml:space="preserve"> руб.</w:t>
            </w:r>
            <w:bookmarkStart w:id="0" w:name="_GoBack"/>
            <w:bookmarkEnd w:id="0"/>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C06D00">
              <w:rPr>
                <w:b/>
              </w:rPr>
              <w:t>123 547 749,72</w:t>
            </w:r>
            <w:r w:rsidRPr="00180504">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w:t>
            </w:r>
            <w:r w:rsidRPr="002217B5">
              <w:lastRenderedPageBreak/>
              <w:t>перечисления на банковский 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8D622D">
        <w:t>вуют данные инфляции за январь</w:t>
      </w:r>
      <w:r w:rsidR="001E57B2">
        <w:t xml:space="preserve"> </w:t>
      </w:r>
      <w:r w:rsidR="008D622D">
        <w:t>2025</w:t>
      </w:r>
      <w:r w:rsidR="00CB0994">
        <w:t xml:space="preserve"> г. раскрытые Росстатом (</w:t>
      </w:r>
      <w:r w:rsidRPr="005C7547">
        <w:t>https://rosstat.gov.ru/), для расче</w:t>
      </w:r>
      <w:r>
        <w:t>т</w:t>
      </w:r>
      <w:r w:rsidR="008D622D">
        <w:t>а использованы данные за декабрь</w:t>
      </w:r>
      <w:r w:rsidR="008B3B06">
        <w:t xml:space="preserve"> 2024</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3301"/>
    <w:rsid w:val="00063F38"/>
    <w:rsid w:val="00073C4E"/>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A90"/>
    <w:rsid w:val="0020563C"/>
    <w:rsid w:val="00212BD4"/>
    <w:rsid w:val="00215ECE"/>
    <w:rsid w:val="00220B4F"/>
    <w:rsid w:val="002279B7"/>
    <w:rsid w:val="002548E9"/>
    <w:rsid w:val="00264BB8"/>
    <w:rsid w:val="00266E4D"/>
    <w:rsid w:val="002737B6"/>
    <w:rsid w:val="002965FD"/>
    <w:rsid w:val="002A0A29"/>
    <w:rsid w:val="002A169E"/>
    <w:rsid w:val="002B15E5"/>
    <w:rsid w:val="002B501B"/>
    <w:rsid w:val="002D2E74"/>
    <w:rsid w:val="002E3C7C"/>
    <w:rsid w:val="002F04A1"/>
    <w:rsid w:val="002F3318"/>
    <w:rsid w:val="002F4B3A"/>
    <w:rsid w:val="002F552F"/>
    <w:rsid w:val="002F726A"/>
    <w:rsid w:val="003069B1"/>
    <w:rsid w:val="00340A2A"/>
    <w:rsid w:val="003567F6"/>
    <w:rsid w:val="0037499D"/>
    <w:rsid w:val="003D7ED1"/>
    <w:rsid w:val="003F3864"/>
    <w:rsid w:val="003F4A61"/>
    <w:rsid w:val="003F6A76"/>
    <w:rsid w:val="00403126"/>
    <w:rsid w:val="00404DED"/>
    <w:rsid w:val="00421516"/>
    <w:rsid w:val="00455942"/>
    <w:rsid w:val="0046422B"/>
    <w:rsid w:val="00465834"/>
    <w:rsid w:val="00473367"/>
    <w:rsid w:val="004A15AB"/>
    <w:rsid w:val="004A2B58"/>
    <w:rsid w:val="004B0DA6"/>
    <w:rsid w:val="004D2E03"/>
    <w:rsid w:val="004D2E7E"/>
    <w:rsid w:val="004D742E"/>
    <w:rsid w:val="004E3EE7"/>
    <w:rsid w:val="004E6ACB"/>
    <w:rsid w:val="004E6B42"/>
    <w:rsid w:val="004F1581"/>
    <w:rsid w:val="00527B62"/>
    <w:rsid w:val="00531663"/>
    <w:rsid w:val="00556974"/>
    <w:rsid w:val="005600F2"/>
    <w:rsid w:val="00572535"/>
    <w:rsid w:val="00585F2C"/>
    <w:rsid w:val="00596866"/>
    <w:rsid w:val="005A65B1"/>
    <w:rsid w:val="005C7547"/>
    <w:rsid w:val="005D329B"/>
    <w:rsid w:val="005F2A9E"/>
    <w:rsid w:val="00603612"/>
    <w:rsid w:val="00613964"/>
    <w:rsid w:val="0061424D"/>
    <w:rsid w:val="00625CD5"/>
    <w:rsid w:val="0064080E"/>
    <w:rsid w:val="00672F92"/>
    <w:rsid w:val="00677124"/>
    <w:rsid w:val="006820EC"/>
    <w:rsid w:val="006852D6"/>
    <w:rsid w:val="006928FB"/>
    <w:rsid w:val="00696ADF"/>
    <w:rsid w:val="006B128C"/>
    <w:rsid w:val="006C04C4"/>
    <w:rsid w:val="006D16C1"/>
    <w:rsid w:val="006D6FB9"/>
    <w:rsid w:val="006E1D25"/>
    <w:rsid w:val="006E3F42"/>
    <w:rsid w:val="006E616B"/>
    <w:rsid w:val="0070233C"/>
    <w:rsid w:val="00703ADB"/>
    <w:rsid w:val="00722EAE"/>
    <w:rsid w:val="00724D0C"/>
    <w:rsid w:val="007423AA"/>
    <w:rsid w:val="00745622"/>
    <w:rsid w:val="00746D0D"/>
    <w:rsid w:val="00747F96"/>
    <w:rsid w:val="00760764"/>
    <w:rsid w:val="0076543E"/>
    <w:rsid w:val="00767183"/>
    <w:rsid w:val="0077111E"/>
    <w:rsid w:val="0078355F"/>
    <w:rsid w:val="007A21A6"/>
    <w:rsid w:val="007B3342"/>
    <w:rsid w:val="007B3AFB"/>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753E"/>
    <w:rsid w:val="008D622D"/>
    <w:rsid w:val="008D774D"/>
    <w:rsid w:val="00900135"/>
    <w:rsid w:val="00901BB8"/>
    <w:rsid w:val="009036F2"/>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C266F"/>
    <w:rsid w:val="009C5021"/>
    <w:rsid w:val="009D6198"/>
    <w:rsid w:val="009E392A"/>
    <w:rsid w:val="009F1983"/>
    <w:rsid w:val="00A03647"/>
    <w:rsid w:val="00A12670"/>
    <w:rsid w:val="00A13034"/>
    <w:rsid w:val="00A2751D"/>
    <w:rsid w:val="00A315EE"/>
    <w:rsid w:val="00A31ECC"/>
    <w:rsid w:val="00A37FDE"/>
    <w:rsid w:val="00A451DF"/>
    <w:rsid w:val="00A62DC6"/>
    <w:rsid w:val="00A85E3A"/>
    <w:rsid w:val="00AA317E"/>
    <w:rsid w:val="00AA585D"/>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C531D"/>
    <w:rsid w:val="00BE2A5E"/>
    <w:rsid w:val="00C06D00"/>
    <w:rsid w:val="00C07FA3"/>
    <w:rsid w:val="00C16ECA"/>
    <w:rsid w:val="00C17F28"/>
    <w:rsid w:val="00C214B7"/>
    <w:rsid w:val="00C2479D"/>
    <w:rsid w:val="00C57FF4"/>
    <w:rsid w:val="00C70E40"/>
    <w:rsid w:val="00C742B5"/>
    <w:rsid w:val="00C8278F"/>
    <w:rsid w:val="00C846F4"/>
    <w:rsid w:val="00C91E91"/>
    <w:rsid w:val="00CB0994"/>
    <w:rsid w:val="00CB1C52"/>
    <w:rsid w:val="00CC3978"/>
    <w:rsid w:val="00CC596C"/>
    <w:rsid w:val="00CD10A0"/>
    <w:rsid w:val="00CE1F59"/>
    <w:rsid w:val="00CE37D7"/>
    <w:rsid w:val="00D12FB4"/>
    <w:rsid w:val="00D2392E"/>
    <w:rsid w:val="00D444F6"/>
    <w:rsid w:val="00D524E8"/>
    <w:rsid w:val="00D538FC"/>
    <w:rsid w:val="00D555F6"/>
    <w:rsid w:val="00D62BFE"/>
    <w:rsid w:val="00D66EBC"/>
    <w:rsid w:val="00D768FF"/>
    <w:rsid w:val="00D77C72"/>
    <w:rsid w:val="00D8625D"/>
    <w:rsid w:val="00D916A5"/>
    <w:rsid w:val="00DB5EE0"/>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12B3"/>
    <w:rsid w:val="00ED57E3"/>
    <w:rsid w:val="00EF4A4B"/>
    <w:rsid w:val="00F02DAF"/>
    <w:rsid w:val="00F34CE5"/>
    <w:rsid w:val="00F40F2F"/>
    <w:rsid w:val="00F44B0F"/>
    <w:rsid w:val="00F51385"/>
    <w:rsid w:val="00F513D5"/>
    <w:rsid w:val="00F80705"/>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71;&#1085;&#1074;&#1072;&#1088;&#1100;\&#1044;&#1086;&#1093;&#1086;&#1076;&#1085;&#1086;&#1089;&#1090;&#1100;%2031.01.2025%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2024</c:v>
                </c:pt>
                <c:pt idx="1">
                  <c:v>2023</c:v>
                </c:pt>
                <c:pt idx="2">
                  <c:v>2022</c:v>
                </c:pt>
                <c:pt idx="3">
                  <c:v>2021</c:v>
                </c:pt>
                <c:pt idx="4">
                  <c:v>2020</c:v>
                </c:pt>
              </c:strCache>
            </c:strRef>
          </c:cat>
          <c:val>
            <c:numRef>
              <c:f>'[1]Доходность по годам'!$E$4:$E$8</c:f>
              <c:numCache>
                <c:formatCode>General</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A9DD-45AB-8AC1-617A6044884A}"/>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0F5C1-5F4A-492A-89F2-1FFFD53A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965</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37</cp:revision>
  <cp:lastPrinted>2022-10-11T08:50:00Z</cp:lastPrinted>
  <dcterms:created xsi:type="dcterms:W3CDTF">2024-08-08T11:49:00Z</dcterms:created>
  <dcterms:modified xsi:type="dcterms:W3CDTF">2026-06-16T09:03:00Z</dcterms:modified>
</cp:coreProperties>
</file>