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91"/>
        <w:gridCol w:w="284"/>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3B39C3">
              <w:rPr>
                <w:b/>
                <w:color w:val="000000" w:themeColor="text1"/>
              </w:rPr>
              <w:t>3</w:t>
            </w:r>
            <w:r w:rsidR="003B39C3" w:rsidRPr="003B39C3">
              <w:rPr>
                <w:b/>
                <w:color w:val="000000" w:themeColor="text1"/>
              </w:rPr>
              <w:t>1</w:t>
            </w:r>
            <w:r w:rsidR="003B39C3">
              <w:rPr>
                <w:b/>
                <w:color w:val="000000" w:themeColor="text1"/>
              </w:rPr>
              <w:t>.0</w:t>
            </w:r>
            <w:r w:rsidR="003B39C3" w:rsidRPr="003B39C3">
              <w:rPr>
                <w:b/>
                <w:color w:val="000000" w:themeColor="text1"/>
              </w:rPr>
              <w:t>7</w:t>
            </w:r>
            <w:r w:rsidR="00C06D00" w:rsidRPr="005249FF">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5249FF">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3B39C3">
              <w:t>31</w:t>
            </w:r>
            <w:r w:rsidR="00264BB8" w:rsidRPr="005249FF">
              <w:t xml:space="preserve"> объект</w:t>
            </w:r>
            <w:r w:rsidR="00587005" w:rsidRPr="005249FF">
              <w:t>ов</w:t>
            </w:r>
            <w:r w:rsidR="00264BB8" w:rsidRPr="005249FF">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F06F39">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91"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284" w:type="dxa"/>
            <w:vMerge w:val="restart"/>
            <w:tcBorders>
              <w:bottom w:val="single" w:sz="4" w:space="0" w:color="auto"/>
            </w:tcBorders>
          </w:tcPr>
          <w:p w:rsidR="00696ADF" w:rsidRDefault="00696ADF" w:rsidP="0017130E">
            <w:pPr>
              <w:pStyle w:val="ConsPlusNormal"/>
            </w:pPr>
          </w:p>
        </w:tc>
      </w:tr>
      <w:tr w:rsidR="00BC531D" w:rsidTr="00F06F39">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91" w:type="dxa"/>
            <w:tcBorders>
              <w:top w:val="single" w:sz="4" w:space="0" w:color="auto"/>
              <w:left w:val="single" w:sz="4" w:space="0" w:color="auto"/>
              <w:bottom w:val="single" w:sz="4" w:space="0" w:color="auto"/>
              <w:right w:val="single" w:sz="4" w:space="0" w:color="auto"/>
            </w:tcBorders>
          </w:tcPr>
          <w:p w:rsidR="00BC531D" w:rsidRPr="005249FF" w:rsidRDefault="00CF59DD" w:rsidP="001F31D2">
            <w:pPr>
              <w:pStyle w:val="ConsPlusNormal"/>
              <w:jc w:val="center"/>
            </w:pPr>
            <w:r>
              <w:t>92,29</w:t>
            </w:r>
            <w:r w:rsidR="00991B80" w:rsidRPr="005249FF">
              <w:t>%</w:t>
            </w:r>
          </w:p>
        </w:tc>
        <w:tc>
          <w:tcPr>
            <w:tcW w:w="284" w:type="dxa"/>
            <w:vMerge/>
            <w:tcBorders>
              <w:bottom w:val="single" w:sz="4" w:space="0" w:color="auto"/>
            </w:tcBorders>
          </w:tcPr>
          <w:p w:rsidR="00BC531D" w:rsidRDefault="00BC531D" w:rsidP="0017130E">
            <w:pPr>
              <w:pStyle w:val="ConsPlusNormal"/>
            </w:pPr>
          </w:p>
        </w:tc>
      </w:tr>
      <w:tr w:rsidR="00FE56D7" w:rsidRPr="00B527B0" w:rsidTr="00F06F39">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E56D7" w:rsidRPr="005249FF" w:rsidRDefault="00CF59DD" w:rsidP="00FE56D7">
            <w:pPr>
              <w:pStyle w:val="ConsPlusNormal"/>
              <w:jc w:val="center"/>
            </w:pPr>
            <w:r>
              <w:t>3,30</w:t>
            </w:r>
            <w:r w:rsidR="00FE56D7" w:rsidRPr="005249FF">
              <w:t>%</w:t>
            </w:r>
          </w:p>
        </w:tc>
        <w:tc>
          <w:tcPr>
            <w:tcW w:w="284" w:type="dxa"/>
            <w:vMerge/>
            <w:tcBorders>
              <w:bottom w:val="single" w:sz="4" w:space="0" w:color="auto"/>
            </w:tcBorders>
          </w:tcPr>
          <w:p w:rsidR="00FE56D7" w:rsidRDefault="00FE56D7" w:rsidP="00FE56D7">
            <w:pPr>
              <w:pStyle w:val="ConsPlusNormal"/>
            </w:pPr>
          </w:p>
        </w:tc>
      </w:tr>
      <w:tr w:rsidR="00A2751D" w:rsidTr="00F06F39">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CF59DD" w:rsidP="00A2751D">
            <w:pPr>
              <w:pStyle w:val="ConsPlusNormal"/>
              <w:jc w:val="center"/>
            </w:pPr>
            <w:r>
              <w:t>2,74</w:t>
            </w:r>
            <w:r w:rsidR="00A2751D" w:rsidRPr="005249FF">
              <w:t>%</w:t>
            </w:r>
          </w:p>
        </w:tc>
        <w:tc>
          <w:tcPr>
            <w:tcW w:w="284" w:type="dxa"/>
            <w:vMerge/>
            <w:tcBorders>
              <w:bottom w:val="single" w:sz="4" w:space="0" w:color="auto"/>
            </w:tcBorders>
          </w:tcPr>
          <w:p w:rsidR="00A2751D" w:rsidRDefault="00A2751D" w:rsidP="00A2751D">
            <w:pPr>
              <w:pStyle w:val="ConsPlusNormal"/>
            </w:pPr>
          </w:p>
        </w:tc>
      </w:tr>
      <w:tr w:rsidR="00A2751D" w:rsidTr="00F06F39">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rsidRPr="00AC6B99">
              <w:t>Акционерное общество "БНС ГРУП"</w:t>
            </w:r>
          </w:p>
          <w:p w:rsidR="00A2751D" w:rsidRDefault="003B39C3" w:rsidP="00140E33">
            <w:pPr>
              <w:pStyle w:val="ConsPlusNormal"/>
            </w:pPr>
            <w:r>
              <w:t xml:space="preserve">(ИНН </w:t>
            </w:r>
            <w:r w:rsidRPr="00AC6B99">
              <w:t>7702680310</w:t>
            </w:r>
            <w:r>
              <w:t>)</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CF59DD" w:rsidP="00A2751D">
            <w:pPr>
              <w:pStyle w:val="ConsPlusNormal"/>
              <w:jc w:val="center"/>
            </w:pPr>
            <w:r>
              <w:t>0,56</w:t>
            </w:r>
            <w:r w:rsidR="00A2751D"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F06F39">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CF59DD" w:rsidP="00A2751D">
            <w:pPr>
              <w:pStyle w:val="ConsPlusNormal"/>
              <w:jc w:val="center"/>
            </w:pPr>
            <w:r>
              <w:t>0,20</w:t>
            </w:r>
            <w:r w:rsidR="00AC6B99"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073BBE">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073BBE" w:rsidP="00A2751D">
            <w:pPr>
              <w:pStyle w:val="ConsPlusNormal"/>
              <w:jc w:val="center"/>
              <w:rPr>
                <w:lang w:val="en-US"/>
              </w:rPr>
            </w:pPr>
            <w:r>
              <w:rPr>
                <w:noProof/>
              </w:rPr>
              <w:drawing>
                <wp:inline distT="0" distB="0" distL="0" distR="0" wp14:anchorId="145B4799" wp14:editId="0CD68131">
                  <wp:extent cx="2628900" cy="2915920"/>
                  <wp:effectExtent l="0" t="0" r="0"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5"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8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F06F39">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5"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284" w:type="dxa"/>
            <w:vMerge/>
            <w:tcBorders>
              <w:top w:val="single" w:sz="4" w:space="0" w:color="auto"/>
              <w:left w:val="single" w:sz="4" w:space="0" w:color="auto"/>
            </w:tcBorders>
          </w:tcPr>
          <w:p w:rsidR="00A2751D" w:rsidRPr="0020563C" w:rsidRDefault="00A2751D" w:rsidP="00A2751D">
            <w:pPr>
              <w:pStyle w:val="ConsPlusNormal"/>
              <w:jc w:val="center"/>
            </w:pPr>
          </w:p>
        </w:tc>
      </w:tr>
      <w:tr w:rsidR="00073BBE" w:rsidTr="004D268E">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073BBE" w:rsidRDefault="00073BBE" w:rsidP="00073BBE">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3BBE" w:rsidRPr="00900135" w:rsidRDefault="00073BBE" w:rsidP="00073BBE">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73BBE" w:rsidRDefault="00073BBE" w:rsidP="00073BBE">
            <w:pPr>
              <w:jc w:val="right"/>
              <w:rPr>
                <w:rFonts w:ascii="Calibri" w:eastAsia="Times New Roman" w:hAnsi="Calibri" w:cs="Calibri"/>
                <w:color w:val="000000"/>
              </w:rPr>
            </w:pPr>
            <w:r>
              <w:rPr>
                <w:rFonts w:ascii="Calibri" w:hAnsi="Calibri" w:cs="Calibri"/>
                <w:color w:val="000000"/>
              </w:rPr>
              <w:t>2,53%</w:t>
            </w:r>
          </w:p>
        </w:tc>
        <w:tc>
          <w:tcPr>
            <w:tcW w:w="1985" w:type="dxa"/>
            <w:gridSpan w:val="2"/>
            <w:tcBorders>
              <w:top w:val="single" w:sz="4" w:space="0" w:color="auto"/>
              <w:left w:val="nil"/>
              <w:bottom w:val="single" w:sz="4" w:space="0" w:color="auto"/>
              <w:right w:val="nil"/>
            </w:tcBorders>
            <w:shd w:val="clear" w:color="auto" w:fill="auto"/>
            <w:vAlign w:val="center"/>
          </w:tcPr>
          <w:p w:rsidR="00073BBE" w:rsidRDefault="00073BBE" w:rsidP="00073BBE">
            <w:pPr>
              <w:jc w:val="center"/>
              <w:rPr>
                <w:rFonts w:ascii="Calibri" w:eastAsia="Times New Roman" w:hAnsi="Calibri" w:cs="Calibri"/>
                <w:color w:val="000000"/>
              </w:rPr>
            </w:pPr>
            <w:r>
              <w:rPr>
                <w:rFonts w:ascii="Calibri" w:hAnsi="Calibri" w:cs="Calibri"/>
                <w:color w:val="000000"/>
              </w:rPr>
              <w:t>2,33%</w:t>
            </w:r>
          </w:p>
        </w:tc>
        <w:tc>
          <w:tcPr>
            <w:tcW w:w="284" w:type="dxa"/>
            <w:vMerge/>
            <w:tcBorders>
              <w:top w:val="single" w:sz="4" w:space="0" w:color="auto"/>
              <w:left w:val="single" w:sz="4" w:space="0" w:color="auto"/>
            </w:tcBorders>
          </w:tcPr>
          <w:p w:rsidR="00073BBE" w:rsidRPr="0020563C" w:rsidRDefault="00073BBE" w:rsidP="00073BBE">
            <w:pPr>
              <w:pStyle w:val="ConsPlusNormal"/>
              <w:jc w:val="center"/>
            </w:pPr>
          </w:p>
        </w:tc>
      </w:tr>
      <w:tr w:rsidR="00073BBE" w:rsidTr="004D268E">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073BBE" w:rsidRDefault="00073BBE" w:rsidP="00073BB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3BBE" w:rsidRPr="00900135" w:rsidRDefault="00073BBE" w:rsidP="00073BBE">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73BBE" w:rsidRDefault="00073BBE" w:rsidP="00073BBE">
            <w:pPr>
              <w:jc w:val="right"/>
              <w:rPr>
                <w:rFonts w:ascii="Calibri" w:hAnsi="Calibri" w:cs="Calibri"/>
                <w:color w:val="000000"/>
              </w:rPr>
            </w:pPr>
            <w:r>
              <w:rPr>
                <w:rFonts w:ascii="Calibri" w:hAnsi="Calibri" w:cs="Calibri"/>
                <w:color w:val="000000"/>
              </w:rPr>
              <w:t>5,59%</w:t>
            </w:r>
          </w:p>
        </w:tc>
        <w:tc>
          <w:tcPr>
            <w:tcW w:w="1985" w:type="dxa"/>
            <w:gridSpan w:val="2"/>
            <w:tcBorders>
              <w:top w:val="single" w:sz="4" w:space="0" w:color="auto"/>
              <w:left w:val="nil"/>
              <w:bottom w:val="single" w:sz="4" w:space="0" w:color="auto"/>
              <w:right w:val="nil"/>
            </w:tcBorders>
            <w:shd w:val="clear" w:color="auto" w:fill="auto"/>
            <w:vAlign w:val="center"/>
          </w:tcPr>
          <w:p w:rsidR="00073BBE" w:rsidRDefault="00073BBE" w:rsidP="00073BBE">
            <w:pPr>
              <w:jc w:val="center"/>
              <w:rPr>
                <w:rFonts w:ascii="Calibri" w:hAnsi="Calibri" w:cs="Calibri"/>
                <w:color w:val="000000"/>
              </w:rPr>
            </w:pPr>
            <w:r>
              <w:rPr>
                <w:rFonts w:ascii="Calibri" w:hAnsi="Calibri" w:cs="Calibri"/>
                <w:color w:val="000000"/>
              </w:rPr>
              <w:t>4,76%</w:t>
            </w:r>
          </w:p>
        </w:tc>
        <w:tc>
          <w:tcPr>
            <w:tcW w:w="284" w:type="dxa"/>
            <w:vMerge/>
            <w:tcBorders>
              <w:top w:val="single" w:sz="4" w:space="0" w:color="auto"/>
              <w:left w:val="single" w:sz="4" w:space="0" w:color="auto"/>
            </w:tcBorders>
          </w:tcPr>
          <w:p w:rsidR="00073BBE" w:rsidRDefault="00073BBE" w:rsidP="00073BBE">
            <w:pPr>
              <w:pStyle w:val="ConsPlusNormal"/>
            </w:pPr>
          </w:p>
        </w:tc>
      </w:tr>
      <w:tr w:rsidR="00073BBE" w:rsidTr="004D268E">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073BBE" w:rsidRDefault="00073BBE" w:rsidP="00073BB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3BBE" w:rsidRPr="00900135" w:rsidRDefault="00073BBE" w:rsidP="00073BBE">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73BBE" w:rsidRDefault="00073BBE" w:rsidP="00073BBE">
            <w:pPr>
              <w:jc w:val="right"/>
              <w:rPr>
                <w:rFonts w:ascii="Calibri" w:hAnsi="Calibri" w:cs="Calibri"/>
                <w:color w:val="000000"/>
              </w:rPr>
            </w:pPr>
            <w:r>
              <w:rPr>
                <w:rFonts w:ascii="Calibri" w:hAnsi="Calibri" w:cs="Calibri"/>
                <w:color w:val="000000"/>
              </w:rPr>
              <w:t>162,14%</w:t>
            </w:r>
          </w:p>
        </w:tc>
        <w:tc>
          <w:tcPr>
            <w:tcW w:w="1985" w:type="dxa"/>
            <w:gridSpan w:val="2"/>
            <w:tcBorders>
              <w:top w:val="single" w:sz="4" w:space="0" w:color="auto"/>
              <w:left w:val="nil"/>
              <w:bottom w:val="single" w:sz="4" w:space="0" w:color="auto"/>
              <w:right w:val="nil"/>
            </w:tcBorders>
            <w:shd w:val="clear" w:color="auto" w:fill="auto"/>
            <w:vAlign w:val="center"/>
          </w:tcPr>
          <w:p w:rsidR="00073BBE" w:rsidRDefault="00073BBE" w:rsidP="00073BBE">
            <w:pPr>
              <w:jc w:val="center"/>
              <w:rPr>
                <w:rFonts w:ascii="Calibri" w:hAnsi="Calibri" w:cs="Calibri"/>
                <w:color w:val="000000"/>
              </w:rPr>
            </w:pPr>
            <w:r>
              <w:rPr>
                <w:rFonts w:ascii="Calibri" w:hAnsi="Calibri" w:cs="Calibri"/>
                <w:color w:val="000000"/>
              </w:rPr>
              <w:t>159,43%</w:t>
            </w:r>
          </w:p>
        </w:tc>
        <w:tc>
          <w:tcPr>
            <w:tcW w:w="284" w:type="dxa"/>
            <w:vMerge/>
            <w:tcBorders>
              <w:top w:val="single" w:sz="4" w:space="0" w:color="auto"/>
              <w:left w:val="single" w:sz="4" w:space="0" w:color="auto"/>
            </w:tcBorders>
          </w:tcPr>
          <w:p w:rsidR="00073BBE" w:rsidRDefault="00073BBE" w:rsidP="00073BBE">
            <w:pPr>
              <w:pStyle w:val="ConsPlusNormal"/>
            </w:pPr>
          </w:p>
        </w:tc>
      </w:tr>
      <w:tr w:rsidR="00073BBE" w:rsidTr="004D268E">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073BBE" w:rsidRDefault="00073BBE" w:rsidP="00073BB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3BBE" w:rsidRPr="00900135" w:rsidRDefault="00073BBE" w:rsidP="00073BBE">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73BBE" w:rsidRDefault="00073BBE" w:rsidP="00073BBE">
            <w:pPr>
              <w:jc w:val="right"/>
              <w:rPr>
                <w:rFonts w:ascii="Calibri" w:hAnsi="Calibri" w:cs="Calibri"/>
                <w:color w:val="000000"/>
              </w:rPr>
            </w:pPr>
            <w:r>
              <w:rPr>
                <w:rFonts w:ascii="Calibri" w:hAnsi="Calibri" w:cs="Calibri"/>
                <w:color w:val="000000"/>
              </w:rPr>
              <w:t>161,69%</w:t>
            </w:r>
          </w:p>
        </w:tc>
        <w:tc>
          <w:tcPr>
            <w:tcW w:w="1985" w:type="dxa"/>
            <w:gridSpan w:val="2"/>
            <w:tcBorders>
              <w:top w:val="single" w:sz="4" w:space="0" w:color="auto"/>
              <w:left w:val="nil"/>
              <w:bottom w:val="single" w:sz="4" w:space="0" w:color="auto"/>
              <w:right w:val="nil"/>
            </w:tcBorders>
            <w:shd w:val="clear" w:color="auto" w:fill="auto"/>
            <w:vAlign w:val="center"/>
          </w:tcPr>
          <w:p w:rsidR="00073BBE" w:rsidRDefault="00073BBE" w:rsidP="00073BBE">
            <w:pPr>
              <w:jc w:val="center"/>
              <w:rPr>
                <w:rFonts w:ascii="Calibri" w:hAnsi="Calibri" w:cs="Calibri"/>
                <w:color w:val="000000"/>
              </w:rPr>
            </w:pPr>
            <w:r>
              <w:rPr>
                <w:rFonts w:ascii="Calibri" w:hAnsi="Calibri" w:cs="Calibri"/>
                <w:color w:val="000000"/>
              </w:rPr>
              <w:t>153,31%</w:t>
            </w:r>
          </w:p>
        </w:tc>
        <w:tc>
          <w:tcPr>
            <w:tcW w:w="284" w:type="dxa"/>
            <w:vMerge/>
            <w:tcBorders>
              <w:top w:val="single" w:sz="4" w:space="0" w:color="auto"/>
              <w:left w:val="single" w:sz="4" w:space="0" w:color="auto"/>
            </w:tcBorders>
          </w:tcPr>
          <w:p w:rsidR="00073BBE" w:rsidRDefault="00073BBE" w:rsidP="00073BBE">
            <w:pPr>
              <w:pStyle w:val="ConsPlusNormal"/>
            </w:pPr>
          </w:p>
        </w:tc>
      </w:tr>
      <w:tr w:rsidR="00073BBE" w:rsidRPr="00EA3F32" w:rsidTr="004D268E">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073BBE" w:rsidRDefault="00073BBE" w:rsidP="00073BB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3BBE" w:rsidRPr="00900135" w:rsidRDefault="00073BBE" w:rsidP="00073BBE">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73BBE" w:rsidRDefault="00073BBE" w:rsidP="00073BBE">
            <w:pPr>
              <w:jc w:val="right"/>
              <w:rPr>
                <w:rFonts w:ascii="Calibri" w:hAnsi="Calibri" w:cs="Calibri"/>
                <w:color w:val="000000"/>
              </w:rPr>
            </w:pPr>
            <w:r>
              <w:rPr>
                <w:rFonts w:ascii="Calibri" w:hAnsi="Calibri" w:cs="Calibri"/>
                <w:color w:val="000000"/>
              </w:rPr>
              <w:t>204,27%</w:t>
            </w:r>
          </w:p>
        </w:tc>
        <w:tc>
          <w:tcPr>
            <w:tcW w:w="1985" w:type="dxa"/>
            <w:gridSpan w:val="2"/>
            <w:tcBorders>
              <w:top w:val="single" w:sz="4" w:space="0" w:color="auto"/>
              <w:left w:val="nil"/>
              <w:bottom w:val="single" w:sz="4" w:space="0" w:color="auto"/>
              <w:right w:val="nil"/>
            </w:tcBorders>
            <w:shd w:val="clear" w:color="auto" w:fill="auto"/>
            <w:vAlign w:val="center"/>
          </w:tcPr>
          <w:p w:rsidR="00073BBE" w:rsidRDefault="00073BBE" w:rsidP="00073BBE">
            <w:pPr>
              <w:jc w:val="center"/>
              <w:rPr>
                <w:rFonts w:ascii="Calibri" w:hAnsi="Calibri" w:cs="Calibri"/>
                <w:color w:val="000000"/>
              </w:rPr>
            </w:pPr>
            <w:r>
              <w:rPr>
                <w:rFonts w:ascii="Calibri" w:hAnsi="Calibri" w:cs="Calibri"/>
                <w:color w:val="000000"/>
              </w:rPr>
              <w:t>180,95%</w:t>
            </w:r>
          </w:p>
        </w:tc>
        <w:tc>
          <w:tcPr>
            <w:tcW w:w="284" w:type="dxa"/>
            <w:vMerge/>
            <w:tcBorders>
              <w:top w:val="single" w:sz="4" w:space="0" w:color="auto"/>
              <w:left w:val="single" w:sz="4" w:space="0" w:color="auto"/>
            </w:tcBorders>
          </w:tcPr>
          <w:p w:rsidR="00073BBE" w:rsidRDefault="00073BBE" w:rsidP="00073BBE">
            <w:pPr>
              <w:pStyle w:val="ConsPlusNormal"/>
            </w:pPr>
          </w:p>
        </w:tc>
      </w:tr>
      <w:tr w:rsidR="00073BBE" w:rsidTr="004D268E">
        <w:trPr>
          <w:gridAfter w:val="4"/>
          <w:wAfter w:w="1364" w:type="dxa"/>
          <w:jc w:val="center"/>
        </w:trPr>
        <w:tc>
          <w:tcPr>
            <w:tcW w:w="4395" w:type="dxa"/>
            <w:gridSpan w:val="4"/>
            <w:tcBorders>
              <w:top w:val="single" w:sz="4" w:space="0" w:color="auto"/>
              <w:right w:val="single" w:sz="4" w:space="0" w:color="auto"/>
            </w:tcBorders>
          </w:tcPr>
          <w:p w:rsidR="00073BBE" w:rsidRDefault="00073BBE" w:rsidP="00073BB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73BBE" w:rsidRPr="00900135" w:rsidRDefault="00073BBE" w:rsidP="00073BBE">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73BBE" w:rsidRDefault="00073BBE" w:rsidP="00073BBE">
            <w:pPr>
              <w:jc w:val="right"/>
              <w:rPr>
                <w:rFonts w:ascii="Calibri" w:hAnsi="Calibri" w:cs="Calibri"/>
                <w:color w:val="000000"/>
              </w:rPr>
            </w:pPr>
            <w:r>
              <w:rPr>
                <w:rFonts w:ascii="Calibri" w:hAnsi="Calibri" w:cs="Calibri"/>
                <w:color w:val="000000"/>
              </w:rPr>
              <w:t>237,99%</w:t>
            </w:r>
          </w:p>
        </w:tc>
        <w:tc>
          <w:tcPr>
            <w:tcW w:w="1985" w:type="dxa"/>
            <w:gridSpan w:val="2"/>
            <w:tcBorders>
              <w:top w:val="single" w:sz="4" w:space="0" w:color="auto"/>
              <w:left w:val="nil"/>
              <w:bottom w:val="single" w:sz="4" w:space="0" w:color="auto"/>
              <w:right w:val="nil"/>
            </w:tcBorders>
            <w:shd w:val="clear" w:color="auto" w:fill="auto"/>
            <w:vAlign w:val="center"/>
          </w:tcPr>
          <w:p w:rsidR="00073BBE" w:rsidRDefault="00073BBE" w:rsidP="00073BBE">
            <w:pPr>
              <w:jc w:val="center"/>
              <w:rPr>
                <w:rFonts w:ascii="Calibri" w:hAnsi="Calibri" w:cs="Calibri"/>
                <w:color w:val="000000"/>
              </w:rPr>
            </w:pPr>
            <w:r>
              <w:rPr>
                <w:rFonts w:ascii="Calibri" w:hAnsi="Calibri" w:cs="Calibri"/>
                <w:color w:val="000000"/>
              </w:rPr>
              <w:t>186,92%</w:t>
            </w:r>
          </w:p>
        </w:tc>
        <w:tc>
          <w:tcPr>
            <w:tcW w:w="284" w:type="dxa"/>
            <w:vMerge/>
            <w:tcBorders>
              <w:top w:val="single" w:sz="4" w:space="0" w:color="auto"/>
              <w:left w:val="single" w:sz="4" w:space="0" w:color="auto"/>
            </w:tcBorders>
          </w:tcPr>
          <w:p w:rsidR="00073BBE" w:rsidRDefault="00073BBE" w:rsidP="00073BBE">
            <w:pPr>
              <w:pStyle w:val="ConsPlusNormal"/>
            </w:pPr>
          </w:p>
        </w:tc>
      </w:tr>
      <w:tr w:rsidR="00A2751D" w:rsidTr="0000443B">
        <w:trPr>
          <w:gridAfter w:val="4"/>
          <w:wAfter w:w="1364" w:type="dxa"/>
          <w:jc w:val="center"/>
        </w:trPr>
        <w:tc>
          <w:tcPr>
            <w:tcW w:w="4395" w:type="dxa"/>
            <w:gridSpan w:val="4"/>
            <w:tcBorders>
              <w:bottom w:val="single" w:sz="4" w:space="0" w:color="auto"/>
            </w:tcBorders>
          </w:tcPr>
          <w:p w:rsidR="00A2751D" w:rsidRPr="00C17F28" w:rsidRDefault="00A2751D" w:rsidP="00A2751D">
            <w:pPr>
              <w:pStyle w:val="ConsPlusNormal"/>
              <w:jc w:val="both"/>
            </w:pPr>
            <w:r>
              <w:t xml:space="preserve">1. Расчетная стоимость инвестиционного пая </w:t>
            </w:r>
            <w:r w:rsidR="003B39C3">
              <w:rPr>
                <w:b/>
              </w:rPr>
              <w:t>2 952 585,10</w:t>
            </w:r>
            <w:r w:rsidRPr="005249FF">
              <w:rPr>
                <w:b/>
              </w:rPr>
              <w:t>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Default="00A2751D" w:rsidP="00A2751D">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3B39C3">
              <w:rPr>
                <w:b/>
              </w:rPr>
              <w:t>295 258 509,51</w:t>
            </w:r>
            <w:r w:rsidR="00592D2B">
              <w:rPr>
                <w:b/>
              </w:rPr>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w:t>
            </w:r>
            <w:r w:rsidRPr="002217B5">
              <w:lastRenderedPageBreak/>
              <w:t>перечисления на банковский 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bookmarkStart w:id="0" w:name="_GoBack"/>
            <w:bookmarkEnd w:id="0"/>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3B39C3">
        <w:t>вуют данные инфляции за июл</w:t>
      </w:r>
      <w:r w:rsidR="001F31D2">
        <w:t>ь</w:t>
      </w:r>
      <w:r w:rsidR="001E57B2">
        <w:t xml:space="preserve"> </w:t>
      </w:r>
      <w:r w:rsidR="008D622D">
        <w:t>2025</w:t>
      </w:r>
      <w:r w:rsidR="00CB0994">
        <w:t xml:space="preserve"> г. раскрытые Росстатом (</w:t>
      </w:r>
      <w:r w:rsidRPr="005C7547">
        <w:t>https://rosstat.gov.ru/), для расче</w:t>
      </w:r>
      <w:r>
        <w:t>т</w:t>
      </w:r>
      <w:r w:rsidR="003B39C3">
        <w:t>а использованы данные за июнь</w:t>
      </w:r>
      <w:r w:rsidR="00C10B02">
        <w:t xml:space="preserve"> 2025</w:t>
      </w:r>
      <w:r>
        <w:t xml:space="preserve"> </w:t>
      </w:r>
      <w:r w:rsidRPr="005C7547">
        <w:t>г</w:t>
      </w:r>
      <w:r>
        <w:t>.</w:t>
      </w:r>
    </w:p>
    <w:p w:rsidR="005C7547" w:rsidRPr="00F06F39" w:rsidRDefault="005C7547" w:rsidP="003567F6">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BBE"/>
    <w:rsid w:val="00073C4E"/>
    <w:rsid w:val="00092463"/>
    <w:rsid w:val="000A263D"/>
    <w:rsid w:val="000A6539"/>
    <w:rsid w:val="000B2B1C"/>
    <w:rsid w:val="000D6418"/>
    <w:rsid w:val="000E22E7"/>
    <w:rsid w:val="000E2606"/>
    <w:rsid w:val="000F2423"/>
    <w:rsid w:val="000F5EEC"/>
    <w:rsid w:val="00105B56"/>
    <w:rsid w:val="0011201A"/>
    <w:rsid w:val="00134B64"/>
    <w:rsid w:val="00140E33"/>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D2E03"/>
    <w:rsid w:val="004D2E7E"/>
    <w:rsid w:val="004D742E"/>
    <w:rsid w:val="004E3EE7"/>
    <w:rsid w:val="004E6ACB"/>
    <w:rsid w:val="004E6B42"/>
    <w:rsid w:val="004F1581"/>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603612"/>
    <w:rsid w:val="00613964"/>
    <w:rsid w:val="0061424D"/>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C266F"/>
    <w:rsid w:val="009C5021"/>
    <w:rsid w:val="009D5B54"/>
    <w:rsid w:val="009D6198"/>
    <w:rsid w:val="009E392A"/>
    <w:rsid w:val="009F1983"/>
    <w:rsid w:val="00A03647"/>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B0994"/>
    <w:rsid w:val="00CB1C52"/>
    <w:rsid w:val="00CC3978"/>
    <w:rsid w:val="00CC596C"/>
    <w:rsid w:val="00CD10A0"/>
    <w:rsid w:val="00CE1F59"/>
    <w:rsid w:val="00CE37D7"/>
    <w:rsid w:val="00CF59DD"/>
    <w:rsid w:val="00D00022"/>
    <w:rsid w:val="00D12FB4"/>
    <w:rsid w:val="00D2392E"/>
    <w:rsid w:val="00D444F6"/>
    <w:rsid w:val="00D524E8"/>
    <w:rsid w:val="00D538FC"/>
    <w:rsid w:val="00D555F6"/>
    <w:rsid w:val="00D62BFE"/>
    <w:rsid w:val="00D66EBC"/>
    <w:rsid w:val="00D768FF"/>
    <w:rsid w:val="00D77C72"/>
    <w:rsid w:val="00D8625D"/>
    <w:rsid w:val="00D87A80"/>
    <w:rsid w:val="00D916A5"/>
    <w:rsid w:val="00DB5EE0"/>
    <w:rsid w:val="00DC2756"/>
    <w:rsid w:val="00DC66E7"/>
    <w:rsid w:val="00E02D05"/>
    <w:rsid w:val="00E034C4"/>
    <w:rsid w:val="00E035AD"/>
    <w:rsid w:val="00E1033C"/>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80;&#1102;&#1083;&#1100;\&#1044;&#1086;&#1093;&#1086;&#1076;&#1085;&#1086;&#1089;&#1090;&#1100;%2031.07.2025%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'[1]Доходность по годам'!$A$4:$A$8</c:f>
              <c:strCache>
                <c:ptCount val="5"/>
                <c:pt idx="0">
                  <c:v>2024</c:v>
                </c:pt>
                <c:pt idx="1">
                  <c:v>2023</c:v>
                </c:pt>
                <c:pt idx="2">
                  <c:v>2022</c:v>
                </c:pt>
                <c:pt idx="3">
                  <c:v>2021</c:v>
                </c:pt>
                <c:pt idx="4">
                  <c:v>2020</c:v>
                </c:pt>
              </c:strCache>
            </c:strRef>
          </c:cat>
          <c:val>
            <c:numRef>
              <c:f>'[1]Доходность по годам'!$E$4:$E$8</c:f>
              <c:numCache>
                <c:formatCode>General</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455B-472A-BE3C-0586121CD0ED}"/>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4F557-A27C-4C14-8C32-335BF368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969</Words>
  <Characters>5526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16</cp:revision>
  <cp:lastPrinted>2022-10-11T08:50:00Z</cp:lastPrinted>
  <dcterms:created xsi:type="dcterms:W3CDTF">2025-06-26T12:04:00Z</dcterms:created>
  <dcterms:modified xsi:type="dcterms:W3CDTF">2026-06-15T14:19:00Z</dcterms:modified>
</cp:coreProperties>
</file>