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9A52C4">
              <w:rPr>
                <w:b/>
                <w:color w:val="000000" w:themeColor="text1"/>
              </w:rPr>
              <w:t>31.10</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34</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9A52C4" w:rsidP="00F832FE">
            <w:pPr>
              <w:pStyle w:val="ConsPlusNormal"/>
              <w:jc w:val="center"/>
            </w:pPr>
            <w:r>
              <w:t>91,03</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9A52C4" w:rsidP="00FE56D7">
            <w:pPr>
              <w:pStyle w:val="ConsPlusNormal"/>
              <w:jc w:val="center"/>
            </w:pPr>
            <w:r>
              <w:t>3,75</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9A52C4" w:rsidP="00A2751D">
            <w:pPr>
              <w:pStyle w:val="ConsPlusNormal"/>
              <w:jc w:val="center"/>
            </w:pPr>
            <w:r>
              <w:t>3,01</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F832FE" w:rsidP="003B39C3">
            <w:pPr>
              <w:pStyle w:val="ConsPlusNormal"/>
            </w:pPr>
            <w:r>
              <w:t>ИП Романов О.А.</w:t>
            </w:r>
          </w:p>
          <w:p w:rsidR="00A2751D" w:rsidRDefault="003B39C3" w:rsidP="00140E33">
            <w:pPr>
              <w:pStyle w:val="ConsPlusNormal"/>
            </w:pPr>
            <w:r>
              <w:t xml:space="preserve">(ИНН </w:t>
            </w:r>
            <w:r w:rsidR="00F832FE" w:rsidRPr="00F832FE">
              <w:t>504504447776</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0,8</w:t>
            </w:r>
            <w:r w:rsidR="009A52C4">
              <w:t>9</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9A52C4" w:rsidP="00A2751D">
            <w:pPr>
              <w:pStyle w:val="ConsPlusNormal"/>
              <w:jc w:val="center"/>
            </w:pPr>
            <w:r>
              <w:t>0,21</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lastRenderedPageBreak/>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073954">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073954" w:rsidP="00A2751D">
            <w:pPr>
              <w:pStyle w:val="ConsPlusNormal"/>
              <w:jc w:val="center"/>
              <w:rPr>
                <w:lang w:val="en-US"/>
              </w:rPr>
            </w:pPr>
            <w:r>
              <w:rPr>
                <w:noProof/>
              </w:rPr>
              <w:drawing>
                <wp:inline distT="0" distB="0" distL="0" distR="0" wp14:anchorId="745CF9C6" wp14:editId="2DE721BC">
                  <wp:extent cx="2710815" cy="237299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073954" w:rsidTr="00F926FD">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073954" w:rsidRDefault="00073954" w:rsidP="00073954">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954" w:rsidRPr="00900135" w:rsidRDefault="00073954" w:rsidP="00073954">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954" w:rsidRDefault="00073954" w:rsidP="00073954">
            <w:pPr>
              <w:jc w:val="right"/>
              <w:rPr>
                <w:rFonts w:ascii="Calibri" w:eastAsia="Times New Roman" w:hAnsi="Calibri" w:cs="Calibri"/>
                <w:color w:val="000000"/>
              </w:rPr>
            </w:pPr>
            <w:r>
              <w:rPr>
                <w:rFonts w:ascii="Calibri" w:hAnsi="Calibri" w:cs="Calibri"/>
                <w:color w:val="000000"/>
              </w:rPr>
              <w:t>2,18%</w:t>
            </w:r>
          </w:p>
        </w:tc>
        <w:tc>
          <w:tcPr>
            <w:tcW w:w="1985" w:type="dxa"/>
            <w:gridSpan w:val="2"/>
            <w:tcBorders>
              <w:top w:val="single" w:sz="4" w:space="0" w:color="auto"/>
              <w:left w:val="nil"/>
              <w:bottom w:val="single" w:sz="4" w:space="0" w:color="auto"/>
              <w:right w:val="nil"/>
            </w:tcBorders>
            <w:shd w:val="clear" w:color="auto" w:fill="auto"/>
            <w:vAlign w:val="center"/>
          </w:tcPr>
          <w:p w:rsidR="00073954" w:rsidRDefault="00073954" w:rsidP="00073954">
            <w:pPr>
              <w:jc w:val="center"/>
              <w:rPr>
                <w:rFonts w:ascii="Calibri" w:eastAsia="Times New Roman" w:hAnsi="Calibri" w:cs="Calibri"/>
                <w:color w:val="000000"/>
              </w:rPr>
            </w:pPr>
            <w:r>
              <w:rPr>
                <w:rFonts w:ascii="Calibri" w:hAnsi="Calibri" w:cs="Calibri"/>
                <w:color w:val="000000"/>
              </w:rPr>
              <w:t>1,84%</w:t>
            </w:r>
          </w:p>
        </w:tc>
        <w:tc>
          <w:tcPr>
            <w:tcW w:w="284" w:type="dxa"/>
            <w:vMerge/>
            <w:tcBorders>
              <w:top w:val="single" w:sz="4" w:space="0" w:color="auto"/>
              <w:left w:val="single" w:sz="4" w:space="0" w:color="auto"/>
            </w:tcBorders>
          </w:tcPr>
          <w:p w:rsidR="00073954" w:rsidRPr="0020563C" w:rsidRDefault="00073954" w:rsidP="00073954">
            <w:pPr>
              <w:pStyle w:val="ConsPlusNormal"/>
              <w:jc w:val="center"/>
            </w:pPr>
          </w:p>
        </w:tc>
      </w:tr>
      <w:tr w:rsidR="00073954" w:rsidTr="00F926FD">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073954" w:rsidRDefault="00073954" w:rsidP="000739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954" w:rsidRPr="00900135" w:rsidRDefault="00073954" w:rsidP="00073954">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954" w:rsidRDefault="00073954" w:rsidP="00073954">
            <w:pPr>
              <w:jc w:val="right"/>
              <w:rPr>
                <w:rFonts w:ascii="Calibri" w:hAnsi="Calibri" w:cs="Calibri"/>
                <w:color w:val="000000"/>
              </w:rPr>
            </w:pPr>
            <w:r>
              <w:rPr>
                <w:rFonts w:ascii="Calibri" w:hAnsi="Calibri" w:cs="Calibri"/>
                <w:color w:val="000000"/>
              </w:rPr>
              <w:t>5,56%</w:t>
            </w:r>
          </w:p>
        </w:tc>
        <w:tc>
          <w:tcPr>
            <w:tcW w:w="1985" w:type="dxa"/>
            <w:gridSpan w:val="2"/>
            <w:tcBorders>
              <w:top w:val="single" w:sz="4" w:space="0" w:color="auto"/>
              <w:left w:val="nil"/>
              <w:bottom w:val="single" w:sz="4" w:space="0" w:color="auto"/>
              <w:right w:val="nil"/>
            </w:tcBorders>
            <w:shd w:val="clear" w:color="auto" w:fill="auto"/>
            <w:vAlign w:val="center"/>
          </w:tcPr>
          <w:p w:rsidR="00073954" w:rsidRDefault="00073954" w:rsidP="00073954">
            <w:pPr>
              <w:jc w:val="center"/>
              <w:rPr>
                <w:rFonts w:ascii="Calibri" w:hAnsi="Calibri" w:cs="Calibri"/>
                <w:color w:val="000000"/>
              </w:rPr>
            </w:pPr>
            <w:r>
              <w:rPr>
                <w:rFonts w:ascii="Calibri" w:hAnsi="Calibri" w:cs="Calibri"/>
                <w:color w:val="000000"/>
              </w:rPr>
              <w:t>5,16%</w:t>
            </w:r>
          </w:p>
        </w:tc>
        <w:tc>
          <w:tcPr>
            <w:tcW w:w="284" w:type="dxa"/>
            <w:vMerge/>
            <w:tcBorders>
              <w:top w:val="single" w:sz="4" w:space="0" w:color="auto"/>
              <w:left w:val="single" w:sz="4" w:space="0" w:color="auto"/>
            </w:tcBorders>
          </w:tcPr>
          <w:p w:rsidR="00073954" w:rsidRDefault="00073954" w:rsidP="00073954">
            <w:pPr>
              <w:pStyle w:val="ConsPlusNormal"/>
            </w:pPr>
          </w:p>
        </w:tc>
      </w:tr>
      <w:tr w:rsidR="00073954" w:rsidTr="00F926FD">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073954" w:rsidRDefault="00073954" w:rsidP="000739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954" w:rsidRPr="00900135" w:rsidRDefault="00073954" w:rsidP="00073954">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954" w:rsidRDefault="00073954" w:rsidP="00073954">
            <w:pPr>
              <w:jc w:val="right"/>
              <w:rPr>
                <w:rFonts w:ascii="Calibri" w:hAnsi="Calibri" w:cs="Calibri"/>
                <w:color w:val="000000"/>
              </w:rPr>
            </w:pPr>
            <w:r>
              <w:rPr>
                <w:rFonts w:ascii="Calibri" w:hAnsi="Calibri" w:cs="Calibri"/>
                <w:color w:val="000000"/>
              </w:rPr>
              <w:t>11,20%</w:t>
            </w:r>
          </w:p>
        </w:tc>
        <w:tc>
          <w:tcPr>
            <w:tcW w:w="1985" w:type="dxa"/>
            <w:gridSpan w:val="2"/>
            <w:tcBorders>
              <w:top w:val="single" w:sz="4" w:space="0" w:color="auto"/>
              <w:left w:val="nil"/>
              <w:bottom w:val="single" w:sz="4" w:space="0" w:color="auto"/>
              <w:right w:val="nil"/>
            </w:tcBorders>
            <w:shd w:val="clear" w:color="auto" w:fill="auto"/>
            <w:vAlign w:val="center"/>
          </w:tcPr>
          <w:p w:rsidR="00073954" w:rsidRDefault="00073954" w:rsidP="00073954">
            <w:pPr>
              <w:jc w:val="center"/>
              <w:rPr>
                <w:rFonts w:ascii="Calibri" w:hAnsi="Calibri" w:cs="Calibri"/>
                <w:color w:val="000000"/>
              </w:rPr>
            </w:pPr>
            <w:r>
              <w:rPr>
                <w:rFonts w:ascii="Calibri" w:hAnsi="Calibri" w:cs="Calibri"/>
                <w:color w:val="000000"/>
              </w:rPr>
              <w:t>9,72%</w:t>
            </w:r>
          </w:p>
        </w:tc>
        <w:tc>
          <w:tcPr>
            <w:tcW w:w="284" w:type="dxa"/>
            <w:vMerge/>
            <w:tcBorders>
              <w:top w:val="single" w:sz="4" w:space="0" w:color="auto"/>
              <w:left w:val="single" w:sz="4" w:space="0" w:color="auto"/>
            </w:tcBorders>
          </w:tcPr>
          <w:p w:rsidR="00073954" w:rsidRDefault="00073954" w:rsidP="00073954">
            <w:pPr>
              <w:pStyle w:val="ConsPlusNormal"/>
            </w:pPr>
          </w:p>
        </w:tc>
      </w:tr>
      <w:tr w:rsidR="00073954" w:rsidTr="00F926FD">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073954" w:rsidRDefault="00073954" w:rsidP="000739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954" w:rsidRPr="00900135" w:rsidRDefault="00073954" w:rsidP="00073954">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954" w:rsidRDefault="00073954" w:rsidP="00073954">
            <w:pPr>
              <w:jc w:val="right"/>
              <w:rPr>
                <w:rFonts w:ascii="Calibri" w:hAnsi="Calibri" w:cs="Calibri"/>
                <w:color w:val="000000"/>
              </w:rPr>
            </w:pPr>
            <w:r>
              <w:rPr>
                <w:rFonts w:ascii="Calibri" w:hAnsi="Calibri" w:cs="Calibri"/>
                <w:color w:val="000000"/>
              </w:rPr>
              <w:t>155,94%</w:t>
            </w:r>
          </w:p>
        </w:tc>
        <w:tc>
          <w:tcPr>
            <w:tcW w:w="1985" w:type="dxa"/>
            <w:gridSpan w:val="2"/>
            <w:tcBorders>
              <w:top w:val="single" w:sz="4" w:space="0" w:color="auto"/>
              <w:left w:val="nil"/>
              <w:bottom w:val="single" w:sz="4" w:space="0" w:color="auto"/>
              <w:right w:val="nil"/>
            </w:tcBorders>
            <w:shd w:val="clear" w:color="auto" w:fill="auto"/>
            <w:vAlign w:val="center"/>
          </w:tcPr>
          <w:p w:rsidR="00073954" w:rsidRDefault="00073954" w:rsidP="00073954">
            <w:pPr>
              <w:jc w:val="center"/>
              <w:rPr>
                <w:rFonts w:ascii="Calibri" w:hAnsi="Calibri" w:cs="Calibri"/>
                <w:color w:val="000000"/>
              </w:rPr>
            </w:pPr>
            <w:r>
              <w:rPr>
                <w:rFonts w:ascii="Calibri" w:hAnsi="Calibri" w:cs="Calibri"/>
                <w:color w:val="000000"/>
              </w:rPr>
              <w:t>148,41%</w:t>
            </w:r>
          </w:p>
        </w:tc>
        <w:tc>
          <w:tcPr>
            <w:tcW w:w="284" w:type="dxa"/>
            <w:vMerge/>
            <w:tcBorders>
              <w:top w:val="single" w:sz="4" w:space="0" w:color="auto"/>
              <w:left w:val="single" w:sz="4" w:space="0" w:color="auto"/>
            </w:tcBorders>
          </w:tcPr>
          <w:p w:rsidR="00073954" w:rsidRDefault="00073954" w:rsidP="00073954">
            <w:pPr>
              <w:pStyle w:val="ConsPlusNormal"/>
            </w:pPr>
          </w:p>
        </w:tc>
      </w:tr>
      <w:tr w:rsidR="00073954" w:rsidRPr="00EA3F32" w:rsidTr="00F926FD">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073954" w:rsidRDefault="00073954" w:rsidP="000739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954" w:rsidRPr="00900135" w:rsidRDefault="00073954" w:rsidP="00073954">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954" w:rsidRDefault="00073954" w:rsidP="00073954">
            <w:pPr>
              <w:jc w:val="right"/>
              <w:rPr>
                <w:rFonts w:ascii="Calibri" w:hAnsi="Calibri" w:cs="Calibri"/>
                <w:color w:val="000000"/>
              </w:rPr>
            </w:pPr>
            <w:r>
              <w:rPr>
                <w:rFonts w:ascii="Calibri" w:hAnsi="Calibri" w:cs="Calibri"/>
                <w:color w:val="000000"/>
              </w:rPr>
              <w:t>224,29%</w:t>
            </w:r>
          </w:p>
        </w:tc>
        <w:tc>
          <w:tcPr>
            <w:tcW w:w="1985" w:type="dxa"/>
            <w:gridSpan w:val="2"/>
            <w:tcBorders>
              <w:top w:val="single" w:sz="4" w:space="0" w:color="auto"/>
              <w:left w:val="nil"/>
              <w:bottom w:val="single" w:sz="4" w:space="0" w:color="auto"/>
              <w:right w:val="nil"/>
            </w:tcBorders>
            <w:shd w:val="clear" w:color="auto" w:fill="auto"/>
            <w:vAlign w:val="center"/>
          </w:tcPr>
          <w:p w:rsidR="00073954" w:rsidRDefault="00073954" w:rsidP="00073954">
            <w:pPr>
              <w:jc w:val="center"/>
              <w:rPr>
                <w:rFonts w:ascii="Calibri" w:hAnsi="Calibri" w:cs="Calibri"/>
                <w:color w:val="000000"/>
              </w:rPr>
            </w:pPr>
            <w:r>
              <w:rPr>
                <w:rFonts w:ascii="Calibri" w:hAnsi="Calibri" w:cs="Calibri"/>
                <w:color w:val="000000"/>
              </w:rPr>
              <w:t>199,84%</w:t>
            </w:r>
          </w:p>
        </w:tc>
        <w:tc>
          <w:tcPr>
            <w:tcW w:w="284" w:type="dxa"/>
            <w:vMerge/>
            <w:tcBorders>
              <w:top w:val="single" w:sz="4" w:space="0" w:color="auto"/>
              <w:left w:val="single" w:sz="4" w:space="0" w:color="auto"/>
            </w:tcBorders>
          </w:tcPr>
          <w:p w:rsidR="00073954" w:rsidRDefault="00073954" w:rsidP="00073954">
            <w:pPr>
              <w:pStyle w:val="ConsPlusNormal"/>
            </w:pPr>
          </w:p>
        </w:tc>
      </w:tr>
      <w:tr w:rsidR="00073954" w:rsidTr="00F926FD">
        <w:trPr>
          <w:gridAfter w:val="4"/>
          <w:wAfter w:w="1364" w:type="dxa"/>
          <w:jc w:val="center"/>
        </w:trPr>
        <w:tc>
          <w:tcPr>
            <w:tcW w:w="4395" w:type="dxa"/>
            <w:gridSpan w:val="4"/>
            <w:tcBorders>
              <w:top w:val="single" w:sz="4" w:space="0" w:color="auto"/>
              <w:right w:val="single" w:sz="4" w:space="0" w:color="auto"/>
            </w:tcBorders>
          </w:tcPr>
          <w:p w:rsidR="00073954" w:rsidRDefault="00073954" w:rsidP="000739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954" w:rsidRPr="00900135" w:rsidRDefault="00073954" w:rsidP="00073954">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954" w:rsidRDefault="00073954" w:rsidP="00073954">
            <w:pPr>
              <w:jc w:val="right"/>
              <w:rPr>
                <w:rFonts w:ascii="Calibri" w:hAnsi="Calibri" w:cs="Calibri"/>
                <w:color w:val="000000"/>
              </w:rPr>
            </w:pPr>
            <w:r>
              <w:rPr>
                <w:rFonts w:ascii="Calibri" w:hAnsi="Calibri" w:cs="Calibri"/>
                <w:color w:val="000000"/>
              </w:rPr>
              <w:t>252,84%</w:t>
            </w:r>
          </w:p>
        </w:tc>
        <w:tc>
          <w:tcPr>
            <w:tcW w:w="1985" w:type="dxa"/>
            <w:gridSpan w:val="2"/>
            <w:tcBorders>
              <w:top w:val="single" w:sz="4" w:space="0" w:color="auto"/>
              <w:left w:val="nil"/>
              <w:bottom w:val="single" w:sz="4" w:space="0" w:color="auto"/>
              <w:right w:val="nil"/>
            </w:tcBorders>
            <w:shd w:val="clear" w:color="auto" w:fill="auto"/>
            <w:vAlign w:val="center"/>
          </w:tcPr>
          <w:p w:rsidR="00073954" w:rsidRDefault="00073954" w:rsidP="00073954">
            <w:pPr>
              <w:jc w:val="center"/>
              <w:rPr>
                <w:rFonts w:ascii="Calibri" w:hAnsi="Calibri" w:cs="Calibri"/>
                <w:color w:val="000000"/>
              </w:rPr>
            </w:pPr>
            <w:r>
              <w:rPr>
                <w:rFonts w:ascii="Calibri" w:hAnsi="Calibri" w:cs="Calibri"/>
                <w:color w:val="000000"/>
              </w:rPr>
              <w:t>201,35%</w:t>
            </w:r>
          </w:p>
        </w:tc>
        <w:tc>
          <w:tcPr>
            <w:tcW w:w="284" w:type="dxa"/>
            <w:vMerge/>
            <w:tcBorders>
              <w:top w:val="single" w:sz="4" w:space="0" w:color="auto"/>
              <w:left w:val="single" w:sz="4" w:space="0" w:color="auto"/>
            </w:tcBorders>
          </w:tcPr>
          <w:p w:rsidR="00073954" w:rsidRDefault="00073954" w:rsidP="00073954">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8B4EA7" w:rsidRDefault="00A2751D" w:rsidP="008B4EA7">
            <w:pPr>
              <w:pStyle w:val="ConsPlusNormal"/>
              <w:jc w:val="both"/>
              <w:rPr>
                <w:b/>
              </w:rPr>
            </w:pPr>
            <w:r>
              <w:t xml:space="preserve">1. Расчетная стоимость инвестиционного пая </w:t>
            </w:r>
            <w:r w:rsidR="008B4EA7" w:rsidRPr="008B4EA7">
              <w:rPr>
                <w:rFonts w:asciiTheme="minorHAnsi" w:hAnsiTheme="minorHAnsi"/>
                <w:b/>
                <w:sz w:val="22"/>
                <w:szCs w:val="22"/>
              </w:rPr>
              <w:t>2</w:t>
            </w:r>
            <w:r w:rsidR="008B4EA7">
              <w:rPr>
                <w:rFonts w:ascii="Microsoft Sans Serif" w:hAnsi="Microsoft Sans Serif" w:cs="Microsoft Sans Serif"/>
                <w:sz w:val="16"/>
                <w:szCs w:val="16"/>
              </w:rPr>
              <w:t> </w:t>
            </w:r>
            <w:r w:rsidR="008B4EA7" w:rsidRPr="008B4EA7">
              <w:rPr>
                <w:rFonts w:asciiTheme="minorHAnsi" w:hAnsiTheme="minorHAnsi"/>
                <w:b/>
                <w:sz w:val="22"/>
                <w:szCs w:val="22"/>
              </w:rPr>
              <w:t xml:space="preserve">953 026,30 </w:t>
            </w:r>
            <w:r w:rsidR="00510D09" w:rsidRPr="008B4EA7">
              <w:rPr>
                <w:rFonts w:asciiTheme="minorHAnsi" w:hAnsiTheme="minorHAnsi"/>
                <w:b/>
                <w:sz w:val="22"/>
                <w:szCs w:val="22"/>
              </w:rPr>
              <w:t xml:space="preserve"> </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8B4EA7" w:rsidRPr="008B4EA7" w:rsidRDefault="00A2751D" w:rsidP="008B4EA7">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510D09">
              <w:t xml:space="preserve"> </w:t>
            </w:r>
            <w:r w:rsidR="008B4EA7" w:rsidRPr="008B4EA7">
              <w:rPr>
                <w:b/>
              </w:rPr>
              <w:t>295 302 629,56</w:t>
            </w:r>
          </w:p>
          <w:p w:rsidR="00A2751D" w:rsidRPr="008B4EA7" w:rsidRDefault="00A2751D" w:rsidP="00510D09">
            <w:pPr>
              <w:pStyle w:val="ConsPlusNormal"/>
              <w:jc w:val="both"/>
              <w:rPr>
                <w:b/>
              </w:rPr>
            </w:pPr>
            <w:r w:rsidRPr="008B4EA7">
              <w:rPr>
                <w:b/>
              </w:rP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перечисления на банковский счет, </w:t>
            </w:r>
            <w:r w:rsidRPr="002217B5">
              <w:lastRenderedPageBreak/>
              <w:t>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lastRenderedPageBreak/>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21F32" w:rsidRDefault="00121F32" w:rsidP="003567F6">
      <w:pPr>
        <w:pStyle w:val="ConsPlusNormal"/>
        <w:jc w:val="both"/>
      </w:pPr>
    </w:p>
    <w:p w:rsidR="00121F32" w:rsidRDefault="00121F32" w:rsidP="003567F6">
      <w:pPr>
        <w:pStyle w:val="ConsPlusNormal"/>
        <w:jc w:val="both"/>
      </w:pPr>
    </w:p>
    <w:p w:rsidR="00E52304" w:rsidRDefault="00E52304" w:rsidP="003567F6">
      <w:pPr>
        <w:pStyle w:val="ConsPlusNormal"/>
        <w:jc w:val="both"/>
      </w:pPr>
    </w:p>
    <w:p w:rsidR="00E52304" w:rsidRDefault="00E52304" w:rsidP="003567F6">
      <w:pPr>
        <w:pStyle w:val="ConsPlusNormal"/>
        <w:jc w:val="both"/>
      </w:pPr>
    </w:p>
    <w:p w:rsidR="00E52304" w:rsidRDefault="00E52304" w:rsidP="003567F6">
      <w:pPr>
        <w:pStyle w:val="ConsPlusNormal"/>
        <w:jc w:val="both"/>
      </w:pPr>
    </w:p>
    <w:p w:rsidR="00E52304" w:rsidRDefault="00E52304" w:rsidP="003567F6">
      <w:pPr>
        <w:pStyle w:val="ConsPlusNormal"/>
        <w:jc w:val="both"/>
      </w:pPr>
      <w:bookmarkStart w:id="0" w:name="_GoBack"/>
      <w:bookmarkEnd w:id="0"/>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8B4EA7">
        <w:t>вуют данные инфляции за октябрь</w:t>
      </w:r>
      <w:r w:rsidR="001E57B2">
        <w:t xml:space="preserve"> </w:t>
      </w:r>
      <w:r w:rsidR="008D622D">
        <w:t>2025</w:t>
      </w:r>
      <w:r w:rsidR="00CB0994">
        <w:t xml:space="preserve"> г. раскрытые Росстатом (</w:t>
      </w:r>
      <w:r w:rsidRPr="005C7547">
        <w:t>https://rosstat.gov.ru/), для расче</w:t>
      </w:r>
      <w:r>
        <w:t>т</w:t>
      </w:r>
      <w:r w:rsidR="008B4EA7">
        <w:t>а использованы данные за сентябрь</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BA2" w:rsidRDefault="00E43BA2">
      <w:pPr>
        <w:spacing w:after="0" w:line="240" w:lineRule="auto"/>
      </w:pPr>
      <w:r>
        <w:separator/>
      </w:r>
    </w:p>
  </w:endnote>
  <w:endnote w:type="continuationSeparator" w:id="0">
    <w:p w:rsidR="00E43BA2" w:rsidRDefault="00E4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BA2" w:rsidRDefault="00E43BA2">
      <w:pPr>
        <w:spacing w:after="0" w:line="240" w:lineRule="auto"/>
      </w:pPr>
      <w:r>
        <w:separator/>
      </w:r>
    </w:p>
  </w:footnote>
  <w:footnote w:type="continuationSeparator" w:id="0">
    <w:p w:rsidR="00E43BA2" w:rsidRDefault="00E43B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954"/>
    <w:rsid w:val="00073C4E"/>
    <w:rsid w:val="00092463"/>
    <w:rsid w:val="000A263D"/>
    <w:rsid w:val="000A6539"/>
    <w:rsid w:val="000B2B1C"/>
    <w:rsid w:val="000D6418"/>
    <w:rsid w:val="000E22E7"/>
    <w:rsid w:val="000E2606"/>
    <w:rsid w:val="000F2423"/>
    <w:rsid w:val="000F5EEC"/>
    <w:rsid w:val="00105B56"/>
    <w:rsid w:val="0011201A"/>
    <w:rsid w:val="00121F32"/>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30AD3"/>
    <w:rsid w:val="00E43BA2"/>
    <w:rsid w:val="00E47FD4"/>
    <w:rsid w:val="00E513AF"/>
    <w:rsid w:val="00E52304"/>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B268"/>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86;&#1082;&#1090;&#1103;&#1073;&#1088;&#1100;\&#1044;&#1086;&#1093;&#1086;&#1076;&#1085;&#1086;&#1089;&#1090;&#1100;%2031.10.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'[3]Доходность по годам'!$A$4:$A$8</c:f>
              <c:strCache>
                <c:ptCount val="5"/>
                <c:pt idx="0">
                  <c:v>2024</c:v>
                </c:pt>
                <c:pt idx="1">
                  <c:v>2023</c:v>
                </c:pt>
                <c:pt idx="2">
                  <c:v>2022</c:v>
                </c:pt>
                <c:pt idx="3">
                  <c:v>2021</c:v>
                </c:pt>
                <c:pt idx="4">
                  <c:v>2020</c:v>
                </c:pt>
              </c:strCache>
            </c:strRef>
          </c:cat>
          <c:val>
            <c:numRef>
              <c:f>'[3]Доходность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347D-49F7-8927-AC9477708CCD}"/>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6557-0939-42C0-85F3-BE8689CB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27</cp:revision>
  <cp:lastPrinted>2022-10-11T08:50:00Z</cp:lastPrinted>
  <dcterms:created xsi:type="dcterms:W3CDTF">2025-06-26T12:04:00Z</dcterms:created>
  <dcterms:modified xsi:type="dcterms:W3CDTF">2026-06-23T11:54:00Z</dcterms:modified>
</cp:coreProperties>
</file>